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"1" </w:instrText>
      </w:r>
      <w:r>
        <w:fldChar w:fldCharType="separate"/>
      </w:r>
      <w:r>
        <w:rPr>
          <w:color w:val="0000EE"/>
          <w:u w:val="single" w:color="0000EE"/>
        </w:rPr>
        <w:t>高行健「心象繪畫」展與「跨界的創作」線上講座 以藝術實踐自由與跨域思維 ／ 校史特藏組</w:t>
      </w:r>
      <w:r>
        <w:rPr>
          <w:color w:val="0000EE"/>
          <w:u w:val="single" w:color="0000EE"/>
        </w:rPr>
        <w:fldChar w:fldCharType="end"/>
      </w:r>
    </w:p>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2025臺灣地理圖像展活動預告 ／ 林口分館</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新書上架《織編世界：臺灣當代旅遊敘事》 ／ 出版中心</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"4" </w:instrText>
      </w:r>
      <w:r>
        <w:fldChar w:fldCharType="separate"/>
      </w:r>
      <w:r>
        <w:rPr>
          <w:color w:val="0000EE"/>
          <w:u w:val="single" w:color="0000EE"/>
        </w:rPr>
        <w:t>《AI教育，從Robot開始：用機器人STEAM跨領域課程打造21世紀關鍵能力》 ／ 出版中心</w:t>
      </w:r>
      <w:r>
        <w:rPr>
          <w:color w:val="0000EE"/>
          <w:u w:val="single" w:color="0000EE"/>
        </w:rPr>
        <w:fldChar w:fldCharType="end"/>
      </w:r>
    </w:p>
    <w:p>
      <w:pPr>
        <w:pStyle w:val="Heading2"/>
        <w:keepNext w:val="0"/>
        <w:spacing w:before="299" w:after="299"/>
        <w:outlineLvl w:val="9"/>
        <w:rPr>
          <w:b/>
          <w:bCs/>
          <w:sz w:val="36"/>
          <w:szCs w:val="36"/>
        </w:rPr>
      </w:pPr>
      <w:bookmarkStart w:id="0" w:name="1"/>
      <w:r>
        <w:rPr>
          <w:rFonts w:ascii="Times New Roman" w:eastAsia="Times New Roman" w:hAnsi="Times New Roman" w:cs="Times New Roman"/>
          <w:i w:val="0"/>
          <w:iCs w:val="0"/>
        </w:rPr>
        <w:t>高行健「心象繪畫」展與「跨界的創作」線上講座 以藝術實踐自由與跨域思維</w:t>
      </w:r>
    </w:p>
    <w:p/>
    <w:p>
      <w:pPr>
        <w:spacing w:before="240" w:after="240"/>
        <w:jc w:val="right"/>
      </w:pPr>
      <w:r>
        <w:t>校史特藏組</w:t>
      </w:r>
    </w:p>
    <w:p>
      <w:pPr>
        <w:spacing w:before="240" w:after="240"/>
      </w:pPr>
      <w:r>
        <w:t>　　「心象繪畫──高行健」展，自2025年9月23日起於臺師大美術館展出，由美術館與高行健資料中心共同策劃，並於9月26日舉行開幕式。原訂展期至11月23日，因觀眾反應熱烈，延長至12月21日。展覽展出高行健自1988年抵達巴黎至2023年間創作、並先後捐贈予臺師大的水墨與版畫作品，共計46幅，橫跨三十餘年的創作歷程，呈現其在抽象與具象之間游移的獨特水墨語言與心象世界。</w:t>
      </w:r>
    </w:p>
    <w:tbl>
      <w:tblPr>
        <w:tblW w:w="4998" w:type="pct"/>
        <w:jc w:val="center"/>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2002"/>
        <w:gridCol w:w="4995"/>
        <w:gridCol w:w="2300"/>
      </w:tblGrid>
      <w:tr>
        <w:tblPrEx>
          <w:tblW w:w="4998" w:type="pct"/>
          <w:jc w:val="center"/>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rPr>
          <w:trHeight w:val="3336"/>
          <w:jc w:val="center"/>
        </w:trPr>
        <w:tc>
          <w:tcPr>
            <w:tcW w:w="1613" w:type="pct"/>
            <w:tcBorders>
              <w:bottom w:val="inset" w:sz="6" w:space="0" w:color="808080"/>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1613" w:type="pct"/>
            <w:tcBorders>
              <w:left w:val="inset" w:sz="6" w:space="0" w:color="808080"/>
              <w:bottom w:val="inset" w:sz="6" w:space="0" w:color="808080"/>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1613" w:type="pct"/>
            <w:tcBorders>
              <w:left w:val="inset" w:sz="6" w:space="0" w:color="808080"/>
              <w:bottom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r>
        <w:tblPrEx>
          <w:tblW w:w="4998" w:type="pct"/>
          <w:jc w:val="center"/>
          <w:tblInd w:w="30" w:type="dxa"/>
          <w:tblCellMar>
            <w:top w:w="15" w:type="dxa"/>
            <w:left w:w="15" w:type="dxa"/>
            <w:bottom w:w="15" w:type="dxa"/>
            <w:right w:w="15" w:type="dxa"/>
          </w:tblCellMar>
        </w:tblPrEx>
        <w:trPr>
          <w:trHeight w:val="882"/>
          <w:jc w:val="center"/>
        </w:trPr>
        <w:tc>
          <w:tcPr>
            <w:tcW w:w="1613" w:type="pct"/>
            <w:tcBorders>
              <w:top w:val="inset" w:sz="6" w:space="0" w:color="808080"/>
              <w:right w:val="inset" w:sz="6" w:space="0" w:color="808080"/>
            </w:tcBorders>
            <w:noWrap w:val="0"/>
            <w:tcMar>
              <w:top w:w="22" w:type="dxa"/>
              <w:left w:w="22" w:type="dxa"/>
              <w:bottom w:w="22" w:type="dxa"/>
              <w:right w:w="22" w:type="dxa"/>
            </w:tcMar>
            <w:vAlign w:val="top"/>
          </w:tcPr>
          <w:p>
            <w:pPr>
              <w:jc w:val="center"/>
              <w:rPr>
                <w:b w:val="0"/>
                <w:bCs w:val="0"/>
                <w:i w:val="0"/>
                <w:iCs w:val="0"/>
                <w:smallCaps w:val="0"/>
                <w:color w:val="000000"/>
              </w:rPr>
            </w:pPr>
            <w:r>
              <w:rPr>
                <w:rFonts w:ascii="arial" w:eastAsia="arial" w:hAnsi="arial" w:cs="arial"/>
                <w:b/>
                <w:bCs/>
                <w:i w:val="0"/>
                <w:iCs w:val="0"/>
                <w:smallCaps w:val="0"/>
                <w:color w:val="000000"/>
                <w:sz w:val="20"/>
                <w:szCs w:val="20"/>
              </w:rPr>
              <w:t>畫展開幕式當天貴賓雲集</w:t>
            </w:r>
          </w:p>
        </w:tc>
        <w:tc>
          <w:tcPr>
            <w:tcW w:w="1613" w:type="pct"/>
            <w:tcBorders>
              <w:top w:val="inset" w:sz="6" w:space="0" w:color="808080"/>
              <w:left w:val="inset" w:sz="6" w:space="0" w:color="808080"/>
              <w:right w:val="inset" w:sz="6" w:space="0" w:color="808080"/>
            </w:tcBorders>
            <w:noWrap w:val="0"/>
            <w:tcMar>
              <w:top w:w="22" w:type="dxa"/>
              <w:left w:w="22" w:type="dxa"/>
              <w:bottom w:w="22" w:type="dxa"/>
              <w:right w:w="22" w:type="dxa"/>
            </w:tcMar>
            <w:vAlign w:val="top"/>
          </w:tcPr>
          <w:p>
            <w:pPr>
              <w:jc w:val="center"/>
              <w:rPr>
                <w:b w:val="0"/>
                <w:bCs w:val="0"/>
                <w:i w:val="0"/>
                <w:iCs w:val="0"/>
                <w:smallCaps w:val="0"/>
                <w:color w:val="000000"/>
              </w:rPr>
            </w:pPr>
            <w:r>
              <w:rPr>
                <w:rFonts w:ascii="arial" w:eastAsia="arial" w:hAnsi="arial" w:cs="arial"/>
                <w:b/>
                <w:bCs/>
                <w:i w:val="0"/>
                <w:iCs w:val="0"/>
                <w:smallCaps w:val="0"/>
                <w:color w:val="000000"/>
                <w:sz w:val="20"/>
                <w:szCs w:val="20"/>
              </w:rPr>
              <w:t>表演藝術研究所師生於畫展開幕式演出改編自高行健《美的葬禮》電影詩之舞作片段《月夜》</w:t>
            </w:r>
          </w:p>
        </w:tc>
        <w:tc>
          <w:tcPr>
            <w:tcW w:w="1613" w:type="pct"/>
            <w:tcBorders>
              <w:top w:val="inset" w:sz="6" w:space="0" w:color="808080"/>
              <w:left w:val="inset" w:sz="6" w:space="0" w:color="808080"/>
            </w:tcBorders>
            <w:noWrap w:val="0"/>
            <w:tcMar>
              <w:top w:w="22" w:type="dxa"/>
              <w:left w:w="22" w:type="dxa"/>
              <w:bottom w:w="22" w:type="dxa"/>
              <w:right w:w="22" w:type="dxa"/>
            </w:tcMar>
            <w:vAlign w:val="top"/>
          </w:tcPr>
          <w:p>
            <w:pPr>
              <w:jc w:val="center"/>
              <w:rPr>
                <w:b w:val="0"/>
                <w:bCs w:val="0"/>
                <w:i w:val="0"/>
                <w:iCs w:val="0"/>
                <w:smallCaps w:val="0"/>
                <w:color w:val="000000"/>
              </w:rPr>
            </w:pPr>
            <w:r>
              <w:rPr>
                <w:rFonts w:ascii="arial" w:eastAsia="arial" w:hAnsi="arial" w:cs="arial"/>
                <w:b/>
                <w:bCs/>
                <w:i w:val="0"/>
                <w:iCs w:val="0"/>
                <w:smallCaps w:val="0"/>
                <w:color w:val="000000"/>
                <w:sz w:val="20"/>
                <w:szCs w:val="20"/>
              </w:rPr>
              <w:t>畫展開幕式由李振明教授現場導覽</w:t>
            </w:r>
          </w:p>
        </w:tc>
      </w:tr>
    </w:tbl>
    <w:p>
      <w:pPr>
        <w:spacing w:before="240" w:after="240"/>
      </w:pPr>
      <w:r>
        <w:br/>
      </w:r>
      <w:r>
        <w:t>　　高行健自1980年代旅居法國以來，以「心象」作為繪畫理念核心，透過黑白墨色、光影層次與留白節奏，探索內在視域的流動與人性的自由精神。此次展出的作品從較早期的墨色實驗，到近年的心象風景，讓觀眾在同一空間內看到他如何在不同時期面對相似的精神議題，以不同的畫面處理方式予以回應。</w:t>
      </w:r>
      <w:r>
        <w:br/>
      </w:r>
      <w:r>
        <w:t>展覽期間，臺師大亦於11月13日晚間在師大美術館舉辦「頂尖學術講座」，由高行健講座教授自巴黎連線主講，並同步直播，讓校內外與海外聽眾一同參與。講座由在巴黎的高行健資料中心總監林淑真教授引言，並邀請英語系蘇子中教授與表演藝術研究所何康國教授擔任與談人，從文學理論與表演美學的角度與之對話。</w:t>
      </w:r>
    </w:p>
    <w:p>
      <w:pPr>
        <w:spacing w:before="240" w:after="240"/>
      </w:pPr>
      <w:r>
        <w:t> </w:t>
      </w:r>
    </w:p>
    <w:tbl>
      <w:tblPr>
        <w:tblW w:w="4998"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3099"/>
        <w:gridCol w:w="3099"/>
        <w:gridCol w:w="3099"/>
      </w:tblGrid>
      <w:tr>
        <w:tblPrEx>
          <w:tblW w:w="4998"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1613" w:type="pct"/>
            <w:tcBorders>
              <w:bottom w:val="inset" w:sz="6" w:space="0" w:color="808080"/>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1613" w:type="pct"/>
            <w:tcBorders>
              <w:left w:val="inset" w:sz="6" w:space="0" w:color="808080"/>
              <w:bottom w:val="inset" w:sz="6" w:space="0" w:color="808080"/>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1613" w:type="pct"/>
            <w:tcBorders>
              <w:left w:val="inset" w:sz="6" w:space="0" w:color="808080"/>
              <w:bottom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r>
        <w:tblPrEx>
          <w:tblW w:w="4998" w:type="pct"/>
          <w:tblInd w:w="30" w:type="dxa"/>
          <w:tblCellMar>
            <w:top w:w="15" w:type="dxa"/>
            <w:left w:w="15" w:type="dxa"/>
            <w:bottom w:w="15" w:type="dxa"/>
            <w:right w:w="15" w:type="dxa"/>
          </w:tblCellMar>
        </w:tblPrEx>
        <w:tc>
          <w:tcPr>
            <w:tcW w:w="1613" w:type="pct"/>
            <w:tcBorders>
              <w:top w:val="inset" w:sz="6" w:space="0" w:color="808080"/>
              <w:right w:val="inset" w:sz="6" w:space="0" w:color="808080"/>
            </w:tcBorders>
            <w:noWrap w:val="0"/>
            <w:tcMar>
              <w:top w:w="22" w:type="dxa"/>
              <w:left w:w="22" w:type="dxa"/>
              <w:bottom w:w="22" w:type="dxa"/>
              <w:right w:w="22" w:type="dxa"/>
            </w:tcMar>
            <w:vAlign w:val="top"/>
          </w:tcPr>
          <w:p>
            <w:pPr>
              <w:jc w:val="center"/>
              <w:rPr>
                <w:b w:val="0"/>
                <w:bCs w:val="0"/>
                <w:i w:val="0"/>
                <w:iCs w:val="0"/>
                <w:smallCaps w:val="0"/>
                <w:color w:val="000000"/>
              </w:rPr>
            </w:pPr>
            <w:r>
              <w:rPr>
                <w:rFonts w:ascii="arial" w:eastAsia="arial" w:hAnsi="arial" w:cs="arial"/>
                <w:b/>
                <w:bCs/>
                <w:i w:val="0"/>
                <w:iCs w:val="0"/>
                <w:smallCaps w:val="0"/>
                <w:color w:val="000000"/>
                <w:sz w:val="20"/>
                <w:szCs w:val="20"/>
              </w:rPr>
              <w:t>與談人蘇子中、何康國教授與高行健交流</w:t>
            </w:r>
          </w:p>
        </w:tc>
        <w:tc>
          <w:tcPr>
            <w:tcW w:w="1613" w:type="pct"/>
            <w:tcBorders>
              <w:top w:val="inset" w:sz="6" w:space="0" w:color="808080"/>
              <w:left w:val="inset" w:sz="6" w:space="0" w:color="808080"/>
              <w:right w:val="inset" w:sz="6" w:space="0" w:color="808080"/>
            </w:tcBorders>
            <w:noWrap w:val="0"/>
            <w:tcMar>
              <w:top w:w="22" w:type="dxa"/>
              <w:left w:w="22" w:type="dxa"/>
              <w:bottom w:w="22" w:type="dxa"/>
              <w:right w:w="22" w:type="dxa"/>
            </w:tcMar>
            <w:vAlign w:val="top"/>
          </w:tcPr>
          <w:p>
            <w:pPr>
              <w:jc w:val="center"/>
              <w:rPr>
                <w:b w:val="0"/>
                <w:bCs w:val="0"/>
                <w:i w:val="0"/>
                <w:iCs w:val="0"/>
                <w:smallCaps w:val="0"/>
                <w:color w:val="000000"/>
              </w:rPr>
            </w:pPr>
            <w:r>
              <w:rPr>
                <w:rFonts w:ascii="arial" w:eastAsia="arial" w:hAnsi="arial" w:cs="arial"/>
                <w:b/>
                <w:bCs/>
                <w:i w:val="0"/>
                <w:iCs w:val="0"/>
                <w:smallCaps w:val="0"/>
                <w:color w:val="000000"/>
                <w:sz w:val="20"/>
                <w:szCs w:val="20"/>
              </w:rPr>
              <w:t>高行健以「跨界的創作」為題，自巴黎連線進行演講</w:t>
            </w:r>
          </w:p>
        </w:tc>
        <w:tc>
          <w:tcPr>
            <w:tcW w:w="1613" w:type="pct"/>
            <w:tcBorders>
              <w:top w:val="inset" w:sz="6" w:space="0" w:color="808080"/>
              <w:left w:val="inset" w:sz="6" w:space="0" w:color="808080"/>
            </w:tcBorders>
            <w:noWrap w:val="0"/>
            <w:tcMar>
              <w:top w:w="22" w:type="dxa"/>
              <w:left w:w="22" w:type="dxa"/>
              <w:bottom w:w="22" w:type="dxa"/>
              <w:right w:w="22" w:type="dxa"/>
            </w:tcMar>
            <w:vAlign w:val="top"/>
          </w:tcPr>
          <w:p>
            <w:pPr>
              <w:jc w:val="center"/>
              <w:rPr>
                <w:b w:val="0"/>
                <w:bCs w:val="0"/>
                <w:i w:val="0"/>
                <w:iCs w:val="0"/>
                <w:smallCaps w:val="0"/>
                <w:color w:val="000000"/>
              </w:rPr>
            </w:pPr>
            <w:r>
              <w:rPr>
                <w:rFonts w:ascii="arial" w:eastAsia="arial" w:hAnsi="arial" w:cs="arial"/>
                <w:b/>
                <w:bCs/>
                <w:i w:val="0"/>
                <w:iCs w:val="0"/>
                <w:smallCaps w:val="0"/>
                <w:color w:val="000000"/>
                <w:sz w:val="20"/>
                <w:szCs w:val="20"/>
              </w:rPr>
              <w:t>美術館現場的參與者與在線上的高行健合影</w:t>
            </w:r>
          </w:p>
        </w:tc>
      </w:tr>
    </w:tbl>
    <w:p>
      <w:pPr>
        <w:spacing w:before="240" w:after="240"/>
      </w:pPr>
      <w:r>
        <w:br/>
      </w:r>
      <w:r>
        <w:t>　　在演講中，高行健提到，他的創作不受單一形式侷限，戲劇、小說、繪畫與影像作品皆源自個人思想的延伸。他回顧自己逐步建立的創作方法，包括強調主體性、遠離意識形態的干擾，以及如何透過自我反思與觀察回到創作的原點。蘇子中教授與何康國教授則進一步討論其劇場語彙與視覺語彙之間的連動，以及跨領域教育在當代大學藝術環境中的重要性。本場講座提供了理解高行健創作理念的另一個角度，也補充了展覽無法呈現的思想脈絡。</w:t>
      </w:r>
      <w:r>
        <w:br/>
      </w:r>
      <w:r>
        <w:t>　　透過展覽與講座的並行，校內與社會大眾得以更全面地接觸高行健的藝術實踐。兩場活動共同彰顯高行健始終如一的創作精神──無論媒介如何轉換，藝術的本質在於探索自我、表達真實、並不斷突破界限。未來，臺師大也將持續推動相關研究、典藏與教育活動，逐步累積校內在此領域的資源與能量。</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2"/>
      <w:r>
        <w:rPr>
          <w:rFonts w:ascii="Times New Roman" w:eastAsia="Times New Roman" w:hAnsi="Times New Roman" w:cs="Times New Roman"/>
          <w:i w:val="0"/>
          <w:iCs w:val="0"/>
        </w:rPr>
        <w:t>2025臺灣地理圖像展活動預告</w:t>
      </w:r>
    </w:p>
    <w:p/>
    <w:p>
      <w:pPr>
        <w:spacing w:before="240" w:after="240"/>
        <w:jc w:val="right"/>
      </w:pPr>
      <w:r>
        <w:t>林口分館</w:t>
      </w:r>
    </w:p>
    <w:p>
      <w:pPr>
        <w:spacing w:before="240" w:after="240"/>
      </w:pPr>
      <w:r>
        <w:t>　　12月是一年的尾聲，也是驗收學習成果的時候。林口校區僑生先修部一類組同學在上學期的地理課中除了學習知識，也嘗試小組作業，一同完成以臺灣為範圍的手繪主題地圖/地景圖說海報。經過地理老師的指導與挑選，圖書館將展出脫穎而出的作品，這是同學用心與發揮創意的成果，值得欣賞與期待。</w:t>
      </w:r>
      <w:r>
        <w:br/>
      </w:r>
      <w:r>
        <w:t>  </w:t>
      </w:r>
      <w:r>
        <w:br/>
      </w:r>
      <w:r>
        <w:t>2025臺灣地理圖像展預計於本月2號起在林口分館展出，屆時歡迎大家到館欣賞。</w:t>
      </w:r>
      <w:r>
        <w:br/>
      </w:r>
      <w:r>
        <w:t>12月林口分館還會有其他聖誕節應景活動，也請密切關注林口分館臉書粉絲專頁喔！</w:t>
      </w:r>
      <w:r>
        <w:br/>
      </w:r>
      <w:r>
        <w:t>臉書：</w:t>
      </w:r>
      <w:bookmarkEnd w:id="1"/>
      <w:r>
        <w:fldChar w:fldCharType="begin"/>
      </w:r>
      <w:r>
        <w:instrText xml:space="preserve"> HYPERLINK "https://www.facebook.com/ntnulib.linkou/" </w:instrText>
      </w:r>
      <w:r>
        <w:fldChar w:fldCharType="separate"/>
      </w:r>
      <w:r>
        <w:rPr>
          <w:color w:val="0000EE"/>
          <w:u w:val="single" w:color="0000EE"/>
        </w:rPr>
        <w:t>https://www.facebook.com/ntnulib.linkou/</w:t>
      </w:r>
      <w:r>
        <w:rPr>
          <w:color w:val="0000EE"/>
          <w:u w:val="single" w:color="0000EE"/>
        </w:rPr>
        <w:fldChar w:fldCharType="end"/>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3"/>
      <w:r>
        <w:rPr>
          <w:rFonts w:ascii="Times New Roman" w:eastAsia="Times New Roman" w:hAnsi="Times New Roman" w:cs="Times New Roman"/>
          <w:i w:val="0"/>
          <w:iCs w:val="0"/>
        </w:rPr>
        <w:t>新書上架《織編世界：臺灣當代旅遊敘事》</w:t>
      </w:r>
    </w:p>
    <w:p/>
    <w:p>
      <w:pPr>
        <w:spacing w:before="240" w:after="240"/>
        <w:jc w:val="right"/>
      </w:pPr>
      <w:r>
        <w:t>出版中心</w:t>
      </w:r>
    </w:p>
    <w:p>
      <w:pPr>
        <w:spacing w:before="240" w:after="240"/>
      </w:pPr>
      <w:r>
        <w:t>　　作者林淑慧教授任教於國立臺灣師範大學臺灣語文學系，研究領域為臺灣文學與文化。中央研究院、臺灣大學數位人文中心、紐約大學、哈佛大學、SOAS大學、加州大學聖地牙哥分校、杜賓根大學訪問學人。曾獲臺灣人文研究學術獎、國立編譯館審查優良學術著作出版、科技部人社中心出版獎勵，著有《臺灣文化采風：黃叔璥及其臺海使槎錄研究》、《臺灣清治時期散文的文化軌跡》、《禮俗．記憶與啟蒙：臺灣文獻的文化論述及數位典藏》、《旅行文學與文化》、《旅人心境：臺灣日治時期漢文旅遊書寫》、《再現文化：臺灣近現代移動意象與論述》、《臺灣小說的時空想像》。</w:t>
      </w:r>
    </w:p>
    <w:p>
      <w:pPr>
        <w:spacing w:before="240" w:after="240"/>
      </w:pPr>
      <w:r>
        <w:t> </w:t>
      </w:r>
    </w:p>
    <w:p>
      <w:pPr>
        <w:spacing w:before="240" w:after="240"/>
      </w:pPr>
      <w:r>
        <w:t>　　旅遊敘事藉由在現場的體驗與同理，引發個人或集體記憶，並連結當下及未來，故深具研究意義。本書透過爬梳臺灣冷戰以來的旅遊敘事，探究旅人織編世界的多元動態圖像。亮點如下：</w:t>
      </w:r>
    </w:p>
    <w:p>
      <w:pPr>
        <w:spacing w:before="240" w:after="240"/>
      </w:pPr>
      <w:r>
        <w:t>1.以文學與文化研究相關理論，介入分析家國、族群、性別等議題，為研究臺灣旅遊敘事的重要參考。</w:t>
      </w:r>
    </w:p>
    <w:p>
      <w:pPr>
        <w:spacing w:before="240" w:after="240"/>
      </w:pPr>
      <w:r>
        <w:t>2.廣蒐臺灣旅遊敘事文本，涵括遊記、日記、書信及雜記等具代表性的研究素材。參考報紙、雜誌等相關刊物、冷戰時期文獻、戒嚴時期相關檔案及現代學者論著，資料取材豐富。</w:t>
      </w:r>
    </w:p>
    <w:p>
      <w:pPr>
        <w:spacing w:before="240" w:after="240"/>
      </w:pPr>
      <w:r>
        <w:t>3.採取敘事學、再現記憶、情感結構、數位人文學與地理資訊系統的應用等研究方法，以跨領域研究視野，呈現學術貢獻度。</w:t>
      </w:r>
    </w:p>
    <w:p>
      <w:pPr>
        <w:spacing w:before="240" w:after="240"/>
      </w:pPr>
      <w:r>
        <w:t>4.聚焦探討旅人編織、重組旅遊記憶，投射觀察不同國度及族裔的社會、政經制度的運作。以冷戰、戒嚴及解嚴後為歷史文化脈絡，探討臺灣當代旅遊敘事的情感結構。</w:t>
      </w:r>
    </w:p>
    <w:p>
      <w:pPr>
        <w:spacing w:before="240" w:after="240"/>
      </w:pPr>
      <w:r>
        <w:t>5.於旅遊文學創作模式與文化生產進行多層次分析，呈現跨文化批判、文學地景等多重研究面向。觀摩國際訪客及旅人重構生命經驗，多元呈現身分認同的探索，以及自我實現的歷程，適用於教學的討論課程。 </w:t>
      </w:r>
    </w:p>
    <w:p>
      <w:pPr>
        <w:spacing w:before="240" w:after="240"/>
      </w:pPr>
      <w:r>
        <w:t>6.提供理解臺灣當代旅遊敘事與世界對話的佳徑，創新臺灣學論述。不僅具學術研究的價值，亦蘊含觀光、休閒或文化創意產業的應用元素。</w:t>
      </w:r>
    </w:p>
    <w:p>
      <w:pPr>
        <w:spacing w:before="240" w:after="240"/>
      </w:pPr>
      <w:r>
        <w:t> </w:t>
      </w:r>
    </w:p>
    <w:p>
      <w:pPr>
        <w:spacing w:before="240" w:after="240"/>
      </w:pPr>
      <w:r>
        <w:t>★新書8折優惠：416元（原價：520元）</w:t>
      </w:r>
    </w:p>
    <w:p>
      <w:pPr>
        <w:spacing w:before="240" w:after="240"/>
      </w:pPr>
      <w:r>
        <w:t>線上購買：</w:t>
      </w:r>
      <w:bookmarkEnd w:id="2"/>
      <w:r>
        <w:fldChar w:fldCharType="begin"/>
      </w:r>
      <w:r>
        <w:instrText xml:space="preserve"> HYPERLINK "https://reurl.cc/W83ZlZ" </w:instrText>
      </w:r>
      <w:r>
        <w:fldChar w:fldCharType="separate"/>
      </w:r>
      <w:r>
        <w:rPr>
          <w:color w:val="0000EE"/>
          <w:u w:val="single" w:color="0000EE"/>
        </w:rPr>
        <w:t>https://reurl.cc/W83ZlZ</w:t>
      </w:r>
      <w:r>
        <w:rPr>
          <w:color w:val="0000EE"/>
          <w:u w:val="single" w:color="0000EE"/>
        </w:rPr>
        <w:fldChar w:fldCharType="end"/>
      </w:r>
    </w:p>
    <w:p>
      <w:pPr>
        <w:spacing w:before="240" w:after="240"/>
      </w:pPr>
      <w:r>
        <w:t>實體通路：臺師大校園書店（臺北市大安區和平東路一段129號，警衛室旁）</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4"/>
      <w:r>
        <w:rPr>
          <w:rFonts w:ascii="Times New Roman" w:eastAsia="Times New Roman" w:hAnsi="Times New Roman" w:cs="Times New Roman"/>
          <w:i w:val="0"/>
          <w:iCs w:val="0"/>
        </w:rPr>
        <w:t>《AI教育，從Robot開始：用機器人STEAM跨領域課程打造21世紀關鍵能力》</w:t>
      </w:r>
    </w:p>
    <w:p/>
    <w:p>
      <w:pPr>
        <w:spacing w:before="240" w:after="240"/>
        <w:jc w:val="right"/>
      </w:pPr>
      <w:r>
        <w:t>出版中心</w:t>
      </w:r>
    </w:p>
    <w:p>
      <w:pPr>
        <w:spacing w:before="240" w:after="240"/>
      </w:pPr>
      <w:r>
        <w:t> </w:t>
      </w:r>
    </w:p>
    <w:p>
      <w:pPr>
        <w:spacing w:before="240" w:after="240"/>
      </w:pPr>
      <w:r>
        <w:t>　　《AI教育，從Robot開始》機器人與STEAM教育的最佳入門指南！</w:t>
      </w:r>
    </w:p>
    <w:p>
      <w:pPr>
        <w:spacing w:before="240" w:after="240"/>
      </w:pPr>
      <w:r>
        <w:t>　　AI與機器人正以前所未有的速度改變世界。本書聚焦兩大關鍵超能力——運算思維與設計思維，結合理論與實證，內容紮實、架構清晰。書中提供教師可直接應用的精彩教案、學生易懂的學習單、實用的機器人教具選購指南，並收錄六大信度良好的量表與國際接軌的中文版運算思維測驗，幫助學習者精準掌握學習成效。課程設計創新多元，從「無人機運送物資」到「智慧盆栽」與「空氣鋼琴音樂劇」等，兼具啟發與趣味。</w:t>
      </w:r>
    </w:p>
    <w:p>
      <w:pPr>
        <w:spacing w:before="240" w:after="240"/>
      </w:pPr>
      <w:r>
        <w:t>　　無論您是教育工作者、家長，或是STEAM初學者，都能輕鬆上手、即學即用。翻開本書，掌握關鍵力，培養「深思力」，在AI時代自信決策，脫穎而出！</w:t>
      </w:r>
    </w:p>
    <w:p>
      <w:pPr>
        <w:spacing w:before="240" w:after="240"/>
      </w:pPr>
      <w:r>
        <w:t> </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