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18.1 -->
  <w:body>
    <w:p>
      <w:pPr>
        <w:numPr>
          <w:ilvl w:val="0"/>
          <w:numId w:val="1"/>
        </w:numPr>
        <w:ind w:left="720" w:hanging="242"/>
        <w:jc w:val="left"/>
      </w:pPr>
      <w:r>
        <w:fldChar w:fldCharType="begin"/>
      </w:r>
      <w:r>
        <w:instrText xml:space="preserve"> HYPERLINK \l "2" </w:instrText>
      </w:r>
      <w:r>
        <w:fldChar w:fldCharType="separate"/>
      </w:r>
      <w:r>
        <w:rPr>
          <w:color w:val="0000EE"/>
          <w:u w:val="single" w:color="0000EE"/>
        </w:rPr>
        <w:t>圖書館(總館、公館及林口分館)新冠肺炎防疫措施 ／ 典藏閱覽組</w:t>
      </w:r>
      <w:r>
        <w:rPr>
          <w:color w:val="0000EE"/>
          <w:u w:val="single" w:color="0000EE"/>
        </w:rPr>
        <w:fldChar w:fldCharType="end"/>
      </w:r>
    </w:p>
    <w:p>
      <w:pPr>
        <w:numPr>
          <w:ilvl w:val="0"/>
          <w:numId w:val="1"/>
        </w:numPr>
        <w:ind w:left="720" w:hanging="242"/>
        <w:jc w:val="left"/>
      </w:pPr>
      <w:r>
        <w:fldChar w:fldCharType="begin"/>
      </w:r>
      <w:r>
        <w:instrText xml:space="preserve"> HYPERLINK \l "3" </w:instrText>
      </w:r>
      <w:r>
        <w:fldChar w:fldCharType="separate"/>
      </w:r>
      <w:r>
        <w:rPr>
          <w:color w:val="0000EE"/>
          <w:u w:val="single" w:color="0000EE"/>
        </w:rPr>
        <w:t>館合證及一卡通讀者入館規定調整 ／ 典藏閱覽組</w:t>
      </w:r>
      <w:r>
        <w:rPr>
          <w:color w:val="0000EE"/>
          <w:u w:val="single" w:color="0000EE"/>
        </w:rPr>
        <w:fldChar w:fldCharType="end"/>
      </w:r>
    </w:p>
    <w:p>
      <w:pPr>
        <w:numPr>
          <w:ilvl w:val="0"/>
          <w:numId w:val="1"/>
        </w:numPr>
        <w:ind w:left="720" w:hanging="242"/>
        <w:jc w:val="left"/>
      </w:pPr>
      <w:r>
        <w:fldChar w:fldCharType="begin"/>
      </w:r>
      <w:r>
        <w:instrText xml:space="preserve"> HYPERLINK \l "4" </w:instrText>
      </w:r>
      <w:r>
        <w:fldChar w:fldCharType="separate"/>
      </w:r>
      <w:r>
        <w:rPr>
          <w:color w:val="0000EE"/>
          <w:u w:val="single" w:color="0000EE"/>
        </w:rPr>
        <w:t>總館空間改造工程報導 ／ 典藏閱覽組</w:t>
      </w:r>
      <w:r>
        <w:rPr>
          <w:color w:val="0000EE"/>
          <w:u w:val="single" w:color="0000EE"/>
        </w:rPr>
        <w:fldChar w:fldCharType="end"/>
      </w:r>
    </w:p>
    <w:p>
      <w:pPr>
        <w:numPr>
          <w:ilvl w:val="0"/>
          <w:numId w:val="1"/>
        </w:numPr>
        <w:ind w:left="720" w:hanging="242"/>
        <w:jc w:val="left"/>
      </w:pPr>
      <w:r>
        <w:fldChar w:fldCharType="begin"/>
      </w:r>
      <w:r>
        <w:instrText xml:space="preserve"> HYPERLINK \l "5" </w:instrText>
      </w:r>
      <w:r>
        <w:fldChar w:fldCharType="separate"/>
      </w:r>
      <w:r>
        <w:rPr>
          <w:color w:val="0000EE"/>
          <w:u w:val="single" w:color="0000EE"/>
        </w:rPr>
        <w:t>向大師致敬 -楊牧紀念書展 ／ 推廣諮詢組</w:t>
      </w:r>
      <w:r>
        <w:rPr>
          <w:color w:val="0000EE"/>
          <w:u w:val="single" w:color="0000EE"/>
        </w:rPr>
        <w:fldChar w:fldCharType="end"/>
      </w:r>
    </w:p>
    <w:p>
      <w:pPr>
        <w:numPr>
          <w:ilvl w:val="0"/>
          <w:numId w:val="1"/>
        </w:numPr>
        <w:ind w:left="720" w:hanging="242"/>
        <w:jc w:val="left"/>
      </w:pPr>
      <w:r>
        <w:fldChar w:fldCharType="begin"/>
      </w:r>
      <w:r>
        <w:instrText xml:space="preserve"> HYPERLINK \l "6" </w:instrText>
      </w:r>
      <w:r>
        <w:fldChar w:fldCharType="separate"/>
      </w:r>
      <w:r>
        <w:rPr>
          <w:color w:val="0000EE"/>
          <w:u w:val="single" w:color="0000EE"/>
        </w:rPr>
        <w:t>歡迎各單位出版品由出版中心統一申請ISBN、CIP、GPN ／ 出版中心</w:t>
      </w:r>
      <w:r>
        <w:rPr>
          <w:color w:val="0000EE"/>
          <w:u w:val="single" w:color="0000EE"/>
        </w:rPr>
        <w:fldChar w:fldCharType="end"/>
      </w:r>
    </w:p>
    <w:p>
      <w:pPr>
        <w:numPr>
          <w:ilvl w:val="0"/>
          <w:numId w:val="1"/>
        </w:numPr>
        <w:ind w:left="720" w:hanging="242"/>
        <w:jc w:val="left"/>
      </w:pPr>
      <w:r>
        <w:fldChar w:fldCharType="begin"/>
      </w:r>
      <w:r>
        <w:instrText xml:space="preserve"> HYPERLINK \l "7" </w:instrText>
      </w:r>
      <w:r>
        <w:fldChar w:fldCharType="separate"/>
      </w:r>
      <w:r>
        <w:rPr>
          <w:color w:val="0000EE"/>
          <w:u w:val="single" w:color="0000EE"/>
        </w:rPr>
        <w:t>臺師大出版中心購物站滿199超取免運 ／ 出版中心</w:t>
      </w:r>
      <w:r>
        <w:rPr>
          <w:color w:val="0000EE"/>
          <w:u w:val="single" w:color="0000EE"/>
        </w:rPr>
        <w:fldChar w:fldCharType="end"/>
      </w:r>
    </w:p>
    <w:p>
      <w:pPr>
        <w:numPr>
          <w:ilvl w:val="0"/>
          <w:numId w:val="1"/>
        </w:numPr>
        <w:ind w:left="720" w:hanging="242"/>
        <w:jc w:val="left"/>
      </w:pPr>
      <w:r>
        <w:fldChar w:fldCharType="begin"/>
      </w:r>
      <w:r>
        <w:instrText xml:space="preserve"> HYPERLINK \l "8" </w:instrText>
      </w:r>
      <w:r>
        <w:fldChar w:fldCharType="separate"/>
      </w:r>
      <w:r>
        <w:rPr>
          <w:color w:val="0000EE"/>
          <w:u w:val="single" w:color="0000EE"/>
        </w:rPr>
        <w:t>尋找有緣人市集 ／ 出版中心</w:t>
      </w:r>
      <w:r>
        <w:rPr>
          <w:color w:val="0000EE"/>
          <w:u w:val="single" w:color="0000EE"/>
        </w:rPr>
        <w:fldChar w:fldCharType="end"/>
      </w:r>
    </w:p>
    <w:p>
      <w:pPr>
        <w:numPr>
          <w:ilvl w:val="0"/>
          <w:numId w:val="1"/>
        </w:numPr>
        <w:ind w:left="720" w:hanging="242"/>
        <w:jc w:val="left"/>
      </w:pPr>
      <w:r>
        <w:fldChar w:fldCharType="begin"/>
      </w:r>
      <w:r>
        <w:instrText xml:space="preserve"> HYPERLINK \l "9" </w:instrText>
      </w:r>
      <w:r>
        <w:fldChar w:fldCharType="separate"/>
      </w:r>
      <w:r>
        <w:rPr>
          <w:color w:val="0000EE"/>
          <w:u w:val="single" w:color="0000EE"/>
        </w:rPr>
        <w:t>【林口分館】「2020僑見故鄉特展工作坊」活動報導 ／ 林口分館</w:t>
      </w:r>
      <w:r>
        <w:rPr>
          <w:color w:val="0000EE"/>
          <w:u w:val="single" w:color="0000EE"/>
        </w:rPr>
        <w:fldChar w:fldCharType="end"/>
      </w:r>
    </w:p>
    <w:p>
      <w:pPr>
        <w:numPr>
          <w:ilvl w:val="0"/>
          <w:numId w:val="1"/>
        </w:numPr>
        <w:spacing w:after="240"/>
        <w:ind w:left="720" w:hanging="242"/>
        <w:jc w:val="left"/>
      </w:pPr>
      <w:r>
        <w:fldChar w:fldCharType="begin"/>
      </w:r>
      <w:r>
        <w:instrText xml:space="preserve"> HYPERLINK \l "10" </w:instrText>
      </w:r>
      <w:r>
        <w:fldChar w:fldCharType="separate"/>
      </w:r>
      <w:r>
        <w:rPr>
          <w:color w:val="0000EE"/>
          <w:u w:val="single" w:color="0000EE"/>
        </w:rPr>
        <w:t>防疫期間線上免費資源 ／ 推廣諮詢組</w:t>
      </w:r>
      <w:r>
        <w:rPr>
          <w:color w:val="0000EE"/>
          <w:u w:val="single" w:color="0000EE"/>
        </w:rPr>
        <w:fldChar w:fldCharType="end"/>
      </w:r>
    </w:p>
    <w:p>
      <w:pPr>
        <w:pStyle w:val="Heading2"/>
        <w:keepNext w:val="0"/>
        <w:spacing w:before="299" w:after="299"/>
        <w:outlineLvl w:val="9"/>
        <w:rPr>
          <w:b/>
          <w:bCs/>
          <w:sz w:val="36"/>
          <w:szCs w:val="36"/>
        </w:rPr>
      </w:pPr>
      <w:bookmarkStart w:id="0" w:name="2"/>
      <w:r>
        <w:rPr>
          <w:rFonts w:ascii="Times New Roman" w:eastAsia="Times New Roman" w:hAnsi="Times New Roman" w:cs="Times New Roman"/>
          <w:i w:val="0"/>
          <w:iCs w:val="0"/>
        </w:rPr>
        <w:t>圖書館(總館、公館及林口分館)新冠肺炎防疫措施</w:t>
      </w:r>
    </w:p>
    <w:p/>
    <w:p>
      <w:pPr>
        <w:spacing w:before="240" w:after="240"/>
        <w:jc w:val="right"/>
      </w:pPr>
      <w:r>
        <w:t>典藏閱覽組</w:t>
      </w:r>
    </w:p>
    <w:p>
      <w:pPr>
        <w:spacing w:before="240" w:after="240"/>
      </w:pPr>
      <w:r>
        <w:t> </w:t>
      </w:r>
    </w:p>
    <w:p>
      <w:pPr>
        <w:spacing w:before="240" w:after="240"/>
      </w:pPr>
      <w:r>
        <w:t>(一) 暫停校外人士、館合證及政大、國北教大、清大、交大、北醫、國教院一卡通行讀者入館。</w:t>
      </w:r>
    </w:p>
    <w:p>
      <w:pPr>
        <w:spacing w:before="240" w:after="240"/>
      </w:pPr>
      <w:r>
        <w:t>(二) 洽公人士請取得校外訪客Day Pass，並於入館時出示。</w:t>
      </w:r>
    </w:p>
    <w:p>
      <w:pPr>
        <w:spacing w:before="240" w:after="240"/>
      </w:pPr>
      <w:r>
        <w:t>(三) 總館B1普通閱覽室係屬人群聚集之密閉空間，暫停開放，請多利用圖書館各樓層開放空間或文薈廳。</w:t>
      </w:r>
    </w:p>
    <w:p>
      <w:pPr>
        <w:spacing w:before="240" w:after="240"/>
      </w:pPr>
      <w:r>
        <w:t>(四) 開放時間所有值班人員全程配戴口罩，落實自主健康管理。</w:t>
      </w:r>
    </w:p>
    <w:p>
      <w:pPr>
        <w:spacing w:before="240" w:after="240"/>
      </w:pPr>
      <w:r>
        <w:t>(五) 清潔人員定時打掃廳內環境，針對使用者經常碰觸之處加強清潔消毒，於入口處準備酒精消毒液，洗手臺備有洗手乳清潔用品，供讀者使用。</w:t>
      </w:r>
    </w:p>
    <w:p>
      <w:pPr>
        <w:spacing w:before="240" w:after="240"/>
      </w:pPr>
      <w:r>
        <w:t>(六) 總館入口進行熱感儀體溫量測，讀者入館時如感測警示響起，請至櫃臺由館員進行再次量測，超過37.5℃者禁止入館；體溫小於37.5℃但有呼吸道症狀者請全程配戴口罩。</w:t>
      </w:r>
    </w:p>
    <w:p>
      <w:pPr>
        <w:spacing w:before="240" w:after="240"/>
      </w:pPr>
      <w:r>
        <w:t>(七) 借書可多利用自助借書機及紫外線消毒機，還書可多利用還書箱或戶外木棧道上師大研書機歸還圖書。</w:t>
      </w:r>
    </w:p>
    <w:p>
      <w:pPr>
        <w:spacing w:before="240" w:after="240"/>
      </w:pPr>
      <w:r>
        <w:t>(八) 請研究室及團體討論室使用者開啟窗戶保持通風，並於離開時關閉窗戶，以為安全。</w:t>
      </w:r>
    </w:p>
    <w:p>
      <w:pPr>
        <w:spacing w:before="240" w:after="240"/>
      </w:pPr>
      <w:r>
        <w:t>(九) 籲請入館讀者都能遵守中央疾病管制局發佈之防疫規定，需進行14天居家檢疫者，請勿入館；自主健康管理者請全程配戴口罩。若出現有咳嗽或呼吸急促等不適症狀者，請向值班人員尋求協助和通報。 </w:t>
      </w:r>
    </w:p>
    <w:p>
      <w:pPr>
        <w:spacing w:before="240" w:after="240"/>
      </w:pPr>
      <w:r>
        <w:t>(十) 相關防疫措施將依據中央流行疫情指揮中心公布之防疫建議隨時調整，請注意本館網站最新消息公告。</w:t>
      </w:r>
    </w:p>
    <w:p>
      <w:pPr>
        <w:spacing w:before="240" w:after="240"/>
      </w:pPr>
      <w:r>
        <w:t> </w:t>
      </w:r>
    </w:p>
    <w:p>
      <w:pPr>
        <w:spacing w:before="240" w:after="240"/>
      </w:pPr>
      <w:r>
        <w:t>若您有需要協助之處，請聯絡圖書館流通櫃台： 電話：02-77495235、77495250、77496889 ； Email：libread@ntnu.edu.tw</w:t>
      </w:r>
    </w:p>
    <w:p>
      <w:pPr>
        <w:spacing w:before="240" w:after="240"/>
        <w:jc w:val="right"/>
      </w:pPr>
      <w:bookmarkEnd w:id="0"/>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1" w:name="3"/>
      <w:r>
        <w:rPr>
          <w:rFonts w:ascii="Times New Roman" w:eastAsia="Times New Roman" w:hAnsi="Times New Roman" w:cs="Times New Roman"/>
          <w:i w:val="0"/>
          <w:iCs w:val="0"/>
        </w:rPr>
        <w:t>館合證及一卡通讀者入館規定調整</w:t>
      </w:r>
    </w:p>
    <w:p/>
    <w:p>
      <w:pPr>
        <w:spacing w:before="240" w:after="240"/>
        <w:jc w:val="right"/>
      </w:pPr>
      <w:r>
        <w:t>典藏閱覽組</w:t>
      </w:r>
    </w:p>
    <w:p>
      <w:pPr>
        <w:spacing w:before="240" w:after="240"/>
      </w:pPr>
      <w:r>
        <w:t> </w:t>
      </w:r>
    </w:p>
    <w:p>
      <w:pPr>
        <w:spacing w:before="240" w:after="240"/>
      </w:pPr>
      <w:r>
        <w:t>自</w:t>
      </w:r>
      <w:r>
        <w:rPr>
          <w:lang w:val="en-US" w:eastAsia="en-US"/>
        </w:rPr>
        <w:t>109</w:t>
      </w:r>
      <w:r>
        <w:t>年</w:t>
      </w:r>
      <w:r>
        <w:rPr>
          <w:lang w:val="en-US" w:eastAsia="en-US"/>
        </w:rPr>
        <w:t>3</w:t>
      </w:r>
      <w:r>
        <w:t>月</w:t>
      </w:r>
      <w:r>
        <w:rPr>
          <w:lang w:val="en-US" w:eastAsia="en-US"/>
        </w:rPr>
        <w:t>27</w:t>
      </w:r>
      <w:r>
        <w:t>日起調整館合證及一卡通服務如下：</w:t>
      </w:r>
    </w:p>
    <w:tbl>
      <w:tblPr>
        <w:tblCellSpacing w:w="15" w:type="dxa"/>
        <w:tblInd w:w="30" w:type="dxa"/>
        <w:tblBorders>
          <w:top w:val="outset" w:sz="6" w:space="0" w:color="808080"/>
          <w:left w:val="outset" w:sz="6" w:space="0" w:color="808080"/>
          <w:bottom w:val="outset" w:sz="6" w:space="0" w:color="808080"/>
          <w:right w:val="outset" w:sz="6" w:space="0" w:color="808080"/>
        </w:tblBorders>
        <w:tblCellMar>
          <w:top w:w="15" w:type="dxa"/>
          <w:left w:w="15" w:type="dxa"/>
          <w:bottom w:w="15" w:type="dxa"/>
          <w:right w:w="15" w:type="dxa"/>
        </w:tblCellMar>
      </w:tblPr>
      <w:tblGrid>
        <w:gridCol w:w="651"/>
        <w:gridCol w:w="1949"/>
        <w:gridCol w:w="3901"/>
      </w:tblGrid>
      <w:tr>
        <w:tblPrEx>
          <w:tblCellSpacing w:w="15" w:type="dxa"/>
          <w:tblInd w:w="30" w:type="dxa"/>
          <w:tblBorders>
            <w:top w:val="outset" w:sz="6" w:space="0" w:color="808080"/>
            <w:left w:val="outset" w:sz="6" w:space="0" w:color="808080"/>
            <w:bottom w:val="outset" w:sz="6" w:space="0" w:color="808080"/>
            <w:right w:val="outset" w:sz="6" w:space="0" w:color="808080"/>
          </w:tblBorders>
          <w:tblCellMar>
            <w:top w:w="15" w:type="dxa"/>
            <w:left w:w="15" w:type="dxa"/>
            <w:bottom w:w="15" w:type="dxa"/>
            <w:right w:w="15" w:type="dxa"/>
          </w:tblCellMar>
        </w:tblPrEx>
        <w:trPr>
          <w:tblCellSpacing w:w="15" w:type="dxa"/>
        </w:trPr>
        <w:tc>
          <w:tcPr>
            <w:tcBorders>
              <w:top w:val="single" w:sz="6" w:space="0" w:color="000000"/>
              <w:left w:val="single" w:sz="6" w:space="0" w:color="000000"/>
              <w:bottom w:val="single" w:sz="6" w:space="0" w:color="000000"/>
              <w:right w:val="single" w:sz="6" w:space="0" w:color="000000"/>
            </w:tcBorders>
            <w:noWrap w:val="0"/>
            <w:tcMar>
              <w:top w:w="22" w:type="dxa"/>
              <w:left w:w="22" w:type="dxa"/>
              <w:bottom w:w="22" w:type="dxa"/>
              <w:right w:w="22" w:type="dxa"/>
            </w:tcMar>
            <w:vAlign w:val="center"/>
          </w:tcPr>
          <w:p>
            <w:pPr>
              <w:rPr>
                <w:b w:val="0"/>
                <w:bCs w:val="0"/>
                <w:i w:val="0"/>
                <w:iCs w:val="0"/>
                <w:smallCaps w:val="0"/>
                <w:color w:val="000000"/>
              </w:rPr>
            </w:pPr>
            <w:r>
              <w:rPr>
                <w:b w:val="0"/>
                <w:bCs w:val="0"/>
                <w:i w:val="0"/>
                <w:iCs w:val="0"/>
                <w:smallCaps w:val="0"/>
                <w:color w:val="000000"/>
              </w:rPr>
              <w:t> </w:t>
            </w:r>
          </w:p>
        </w:tc>
        <w:tc>
          <w:tcPr>
            <w:tcBorders>
              <w:top w:val="single" w:sz="6" w:space="0" w:color="000000"/>
              <w:left w:val="single" w:sz="6" w:space="0" w:color="000000"/>
              <w:bottom w:val="single" w:sz="6" w:space="0" w:color="000000"/>
              <w:right w:val="single" w:sz="6" w:space="0" w:color="000000"/>
            </w:tcBorders>
            <w:noWrap w:val="0"/>
            <w:tcMar>
              <w:top w:w="22" w:type="dxa"/>
              <w:left w:w="22" w:type="dxa"/>
              <w:bottom w:w="22" w:type="dxa"/>
              <w:right w:w="22" w:type="dxa"/>
            </w:tcMar>
            <w:vAlign w:val="center"/>
          </w:tcPr>
          <w:p>
            <w:pPr>
              <w:rPr>
                <w:b w:val="0"/>
                <w:bCs w:val="0"/>
                <w:i w:val="0"/>
                <w:iCs w:val="0"/>
                <w:smallCaps w:val="0"/>
                <w:color w:val="000000"/>
              </w:rPr>
            </w:pPr>
            <w:r>
              <w:rPr>
                <w:b w:val="0"/>
                <w:bCs w:val="0"/>
                <w:i w:val="0"/>
                <w:iCs w:val="0"/>
                <w:smallCaps w:val="0"/>
                <w:color w:val="000000"/>
              </w:rPr>
              <w:t>館合證</w:t>
            </w:r>
          </w:p>
        </w:tc>
        <w:tc>
          <w:tcPr>
            <w:tcBorders>
              <w:top w:val="single" w:sz="6" w:space="0" w:color="000000"/>
              <w:left w:val="single" w:sz="6" w:space="0" w:color="000000"/>
              <w:bottom w:val="single" w:sz="6" w:space="0" w:color="000000"/>
              <w:right w:val="single" w:sz="6" w:space="0" w:color="000000"/>
            </w:tcBorders>
            <w:noWrap w:val="0"/>
            <w:tcMar>
              <w:top w:w="22" w:type="dxa"/>
              <w:left w:w="22" w:type="dxa"/>
              <w:bottom w:w="22" w:type="dxa"/>
              <w:right w:w="22" w:type="dxa"/>
            </w:tcMar>
            <w:vAlign w:val="center"/>
          </w:tcPr>
          <w:p>
            <w:pPr>
              <w:rPr>
                <w:b w:val="0"/>
                <w:bCs w:val="0"/>
                <w:i w:val="0"/>
                <w:iCs w:val="0"/>
                <w:smallCaps w:val="0"/>
                <w:color w:val="000000"/>
              </w:rPr>
            </w:pPr>
            <w:r>
              <w:rPr>
                <w:b w:val="0"/>
                <w:bCs w:val="0"/>
                <w:i w:val="0"/>
                <w:iCs w:val="0"/>
                <w:smallCaps w:val="0"/>
                <w:color w:val="000000"/>
              </w:rPr>
              <w:t>一卡通</w:t>
            </w:r>
          </w:p>
        </w:tc>
      </w:tr>
      <w:tr>
        <w:tblPrEx>
          <w:tblCellSpacing w:w="15" w:type="dxa"/>
          <w:tblInd w:w="30" w:type="dxa"/>
          <w:tblCellMar>
            <w:top w:w="15" w:type="dxa"/>
            <w:left w:w="15" w:type="dxa"/>
            <w:bottom w:w="15" w:type="dxa"/>
            <w:right w:w="15" w:type="dxa"/>
          </w:tblCellMar>
        </w:tblPrEx>
        <w:trPr>
          <w:tblCellSpacing w:w="15" w:type="dxa"/>
        </w:trPr>
        <w:tc>
          <w:tcPr>
            <w:tcBorders>
              <w:top w:val="single" w:sz="6" w:space="0" w:color="000000"/>
              <w:left w:val="single" w:sz="6" w:space="0" w:color="000000"/>
              <w:bottom w:val="single" w:sz="6" w:space="0" w:color="000000"/>
              <w:right w:val="single" w:sz="6" w:space="0" w:color="000000"/>
            </w:tcBorders>
            <w:noWrap w:val="0"/>
            <w:tcMar>
              <w:top w:w="22" w:type="dxa"/>
              <w:left w:w="22" w:type="dxa"/>
              <w:bottom w:w="22" w:type="dxa"/>
              <w:right w:w="22" w:type="dxa"/>
            </w:tcMar>
            <w:vAlign w:val="center"/>
          </w:tcPr>
          <w:p>
            <w:pPr>
              <w:rPr>
                <w:b w:val="0"/>
                <w:bCs w:val="0"/>
                <w:i w:val="0"/>
                <w:iCs w:val="0"/>
                <w:smallCaps w:val="0"/>
                <w:color w:val="000000"/>
              </w:rPr>
            </w:pPr>
            <w:r>
              <w:rPr>
                <w:b w:val="0"/>
                <w:bCs w:val="0"/>
                <w:i w:val="0"/>
                <w:iCs w:val="0"/>
                <w:smallCaps w:val="0"/>
                <w:color w:val="000000"/>
              </w:rPr>
              <w:t>校外讀者</w:t>
            </w:r>
          </w:p>
        </w:tc>
        <w:tc>
          <w:tcPr>
            <w:tcBorders>
              <w:top w:val="single" w:sz="6" w:space="0" w:color="000000"/>
              <w:left w:val="single" w:sz="6" w:space="0" w:color="000000"/>
              <w:bottom w:val="single" w:sz="6" w:space="0" w:color="000000"/>
              <w:right w:val="single" w:sz="6" w:space="0" w:color="000000"/>
            </w:tcBorders>
            <w:noWrap w:val="0"/>
            <w:tcMar>
              <w:top w:w="22" w:type="dxa"/>
              <w:left w:w="22" w:type="dxa"/>
              <w:bottom w:w="22" w:type="dxa"/>
              <w:right w:w="22" w:type="dxa"/>
            </w:tcMar>
            <w:vAlign w:val="center"/>
          </w:tcPr>
          <w:p>
            <w:pPr>
              <w:rPr>
                <w:b w:val="0"/>
                <w:bCs w:val="0"/>
                <w:i w:val="0"/>
                <w:iCs w:val="0"/>
                <w:smallCaps w:val="0"/>
                <w:color w:val="000000"/>
              </w:rPr>
            </w:pPr>
            <w:r>
              <w:rPr>
                <w:b w:val="0"/>
                <w:bCs w:val="0"/>
                <w:i w:val="0"/>
                <w:iCs w:val="0"/>
                <w:smallCaps w:val="0"/>
                <w:color w:val="000000"/>
              </w:rPr>
              <w:t>禁止持館合證入館</w:t>
            </w:r>
          </w:p>
        </w:tc>
        <w:tc>
          <w:tcPr>
            <w:tcBorders>
              <w:top w:val="single" w:sz="6" w:space="0" w:color="000000"/>
              <w:left w:val="single" w:sz="6" w:space="0" w:color="000000"/>
              <w:bottom w:val="single" w:sz="6" w:space="0" w:color="000000"/>
              <w:right w:val="single" w:sz="6" w:space="0" w:color="000000"/>
            </w:tcBorders>
            <w:noWrap w:val="0"/>
            <w:tcMar>
              <w:top w:w="22" w:type="dxa"/>
              <w:left w:w="22" w:type="dxa"/>
              <w:bottom w:w="22" w:type="dxa"/>
              <w:right w:w="22" w:type="dxa"/>
            </w:tcMar>
            <w:vAlign w:val="center"/>
          </w:tcPr>
          <w:p>
            <w:pPr>
              <w:rPr>
                <w:b w:val="0"/>
                <w:bCs w:val="0"/>
                <w:i w:val="0"/>
                <w:iCs w:val="0"/>
                <w:smallCaps w:val="0"/>
                <w:color w:val="000000"/>
              </w:rPr>
            </w:pPr>
            <w:r>
              <w:rPr>
                <w:b w:val="0"/>
                <w:bCs w:val="0"/>
                <w:i w:val="0"/>
                <w:iCs w:val="0"/>
                <w:smallCaps w:val="0"/>
                <w:color w:val="000000"/>
              </w:rPr>
              <w:t> </w:t>
            </w:r>
            <w:r>
              <w:rPr>
                <w:b w:val="0"/>
                <w:bCs w:val="0"/>
                <w:i w:val="0"/>
                <w:iCs w:val="0"/>
                <w:smallCaps w:val="0"/>
                <w:color w:val="000000"/>
              </w:rPr>
              <w:t>除台大、台科大外，其他學校均禁止持證入館。</w:t>
            </w:r>
          </w:p>
        </w:tc>
      </w:tr>
      <w:tr>
        <w:tblPrEx>
          <w:tblCellSpacing w:w="15" w:type="dxa"/>
          <w:tblInd w:w="30" w:type="dxa"/>
          <w:tblCellMar>
            <w:top w:w="15" w:type="dxa"/>
            <w:left w:w="15" w:type="dxa"/>
            <w:bottom w:w="15" w:type="dxa"/>
            <w:right w:w="15" w:type="dxa"/>
          </w:tblCellMar>
        </w:tblPrEx>
        <w:trPr>
          <w:tblCellSpacing w:w="15" w:type="dxa"/>
        </w:trPr>
        <w:tc>
          <w:tcPr>
            <w:tcBorders>
              <w:top w:val="single" w:sz="6" w:space="0" w:color="000000"/>
              <w:left w:val="single" w:sz="6" w:space="0" w:color="000000"/>
              <w:bottom w:val="single" w:sz="6" w:space="0" w:color="000000"/>
              <w:right w:val="single" w:sz="6" w:space="0" w:color="000000"/>
            </w:tcBorders>
            <w:noWrap w:val="0"/>
            <w:tcMar>
              <w:top w:w="22" w:type="dxa"/>
              <w:left w:w="22" w:type="dxa"/>
              <w:bottom w:w="22" w:type="dxa"/>
              <w:right w:w="22" w:type="dxa"/>
            </w:tcMar>
            <w:vAlign w:val="center"/>
          </w:tcPr>
          <w:p>
            <w:pPr>
              <w:rPr>
                <w:b w:val="0"/>
                <w:bCs w:val="0"/>
                <w:i w:val="0"/>
                <w:iCs w:val="0"/>
                <w:smallCaps w:val="0"/>
                <w:color w:val="000000"/>
              </w:rPr>
            </w:pPr>
            <w:r>
              <w:rPr>
                <w:b w:val="0"/>
                <w:bCs w:val="0"/>
                <w:i w:val="0"/>
                <w:iCs w:val="0"/>
                <w:smallCaps w:val="0"/>
                <w:color w:val="000000"/>
              </w:rPr>
              <w:t>校內讀者</w:t>
            </w:r>
          </w:p>
        </w:tc>
        <w:tc>
          <w:tcPr>
            <w:tcBorders>
              <w:top w:val="single" w:sz="6" w:space="0" w:color="000000"/>
              <w:left w:val="single" w:sz="6" w:space="0" w:color="000000"/>
              <w:bottom w:val="single" w:sz="6" w:space="0" w:color="000000"/>
              <w:right w:val="single" w:sz="6" w:space="0" w:color="000000"/>
            </w:tcBorders>
            <w:noWrap w:val="0"/>
            <w:tcMar>
              <w:top w:w="22" w:type="dxa"/>
              <w:left w:w="22" w:type="dxa"/>
              <w:bottom w:w="22" w:type="dxa"/>
              <w:right w:w="22" w:type="dxa"/>
            </w:tcMar>
            <w:vAlign w:val="center"/>
          </w:tcPr>
          <w:p>
            <w:pPr>
              <w:rPr>
                <w:b w:val="0"/>
                <w:bCs w:val="0"/>
                <w:i w:val="0"/>
                <w:iCs w:val="0"/>
                <w:smallCaps w:val="0"/>
                <w:color w:val="000000"/>
              </w:rPr>
            </w:pPr>
            <w:r>
              <w:rPr>
                <w:b w:val="0"/>
                <w:bCs w:val="0"/>
                <w:i w:val="0"/>
                <w:iCs w:val="0"/>
                <w:smallCaps w:val="0"/>
                <w:color w:val="000000"/>
              </w:rPr>
              <w:t>暫停讀者申請使用他校館合證</w:t>
            </w:r>
          </w:p>
        </w:tc>
        <w:tc>
          <w:tcPr>
            <w:tcBorders>
              <w:top w:val="single" w:sz="6" w:space="0" w:color="000000"/>
              <w:left w:val="single" w:sz="6" w:space="0" w:color="000000"/>
              <w:bottom w:val="single" w:sz="6" w:space="0" w:color="000000"/>
              <w:right w:val="single" w:sz="6" w:space="0" w:color="000000"/>
            </w:tcBorders>
            <w:noWrap w:val="0"/>
            <w:tcMar>
              <w:top w:w="22" w:type="dxa"/>
              <w:left w:w="22" w:type="dxa"/>
              <w:bottom w:w="22" w:type="dxa"/>
              <w:right w:w="22" w:type="dxa"/>
            </w:tcMar>
            <w:vAlign w:val="center"/>
          </w:tcPr>
          <w:p>
            <w:pPr>
              <w:rPr>
                <w:b w:val="0"/>
                <w:bCs w:val="0"/>
                <w:i w:val="0"/>
                <w:iCs w:val="0"/>
                <w:smallCaps w:val="0"/>
                <w:color w:val="000000"/>
              </w:rPr>
            </w:pPr>
            <w:r>
              <w:rPr>
                <w:b w:val="0"/>
                <w:bCs w:val="0"/>
                <w:i w:val="0"/>
                <w:iCs w:val="0"/>
                <w:smallCaps w:val="0"/>
                <w:color w:val="000000"/>
              </w:rPr>
              <w:t> </w:t>
            </w:r>
            <w:r>
              <w:rPr>
                <w:b w:val="0"/>
                <w:bCs w:val="0"/>
                <w:i w:val="0"/>
                <w:iCs w:val="0"/>
                <w:smallCaps w:val="0"/>
                <w:color w:val="000000"/>
              </w:rPr>
              <w:t>除台大、台科大外，暫停讀者申請政大等校的一卡通服務。</w:t>
            </w:r>
          </w:p>
        </w:tc>
      </w:tr>
    </w:tbl>
    <w:p>
      <w:pPr>
        <w:spacing w:before="240" w:after="240"/>
        <w:jc w:val="right"/>
      </w:pPr>
      <w:bookmarkEnd w:id="1"/>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2" w:name="4"/>
      <w:r>
        <w:rPr>
          <w:rFonts w:ascii="Times New Roman" w:eastAsia="Times New Roman" w:hAnsi="Times New Roman" w:cs="Times New Roman"/>
          <w:i w:val="0"/>
          <w:iCs w:val="0"/>
        </w:rPr>
        <w:t>總館空間改造工程報導</w:t>
      </w:r>
    </w:p>
    <w:p/>
    <w:p>
      <w:pPr>
        <w:spacing w:before="240" w:after="240"/>
        <w:jc w:val="right"/>
      </w:pPr>
      <w:r>
        <w:t>典藏閱覽組</w:t>
      </w:r>
    </w:p>
    <w:p>
      <w:pPr>
        <w:spacing w:before="240" w:after="240"/>
      </w:pPr>
      <w:r>
        <w:t> </w:t>
      </w:r>
    </w:p>
    <w:p>
      <w:pPr>
        <w:spacing w:before="240" w:after="240"/>
      </w:pPr>
      <w:r>
        <w:t>圖書館一樓及三樓空間改造工程自108年11月12日開工以來，已接近完工階段，但工程尚未驗收，故請讀者勿隨意進入施工區域。圖書館亦利用春假閉館期間進行館舍大清潔，恢復原有的亮麗整潔，敬請期待﹗</w:t>
      </w:r>
    </w:p>
    <w:p>
      <w:pPr>
        <w:spacing w:before="240" w:after="240"/>
      </w:pPr>
      <w:r>
        <w:t>      </w:t>
      </w:r>
    </w:p>
    <w:p>
      <w:pPr>
        <w:spacing w:before="240" w:after="240"/>
        <w:jc w:val="right"/>
      </w:pPr>
      <w:bookmarkEnd w:id="2"/>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3" w:name="5"/>
      <w:r>
        <w:rPr>
          <w:rFonts w:ascii="Times New Roman" w:eastAsia="Times New Roman" w:hAnsi="Times New Roman" w:cs="Times New Roman"/>
          <w:i w:val="0"/>
          <w:iCs w:val="0"/>
        </w:rPr>
        <w:t>向大師致敬 -楊牧紀念書展</w:t>
      </w:r>
    </w:p>
    <w:p/>
    <w:p>
      <w:pPr>
        <w:spacing w:before="240" w:after="240"/>
        <w:jc w:val="right"/>
      </w:pPr>
      <w:r>
        <w:t>推廣諮詢組</w:t>
      </w:r>
    </w:p>
    <w:p>
      <w:pPr>
        <w:spacing w:before="240" w:after="240"/>
      </w:pPr>
      <w:r>
        <w:t> </w:t>
      </w:r>
    </w:p>
    <w:p>
      <w:pPr>
        <w:spacing w:before="240" w:after="240"/>
      </w:pPr>
      <w:r>
        <w:t>楊牧老師鎔鑄中國古典文學傳統以及西洋文學語言象徵的文風，有意識地反映社會、探問歷史，具有時代性的意義和精神，於臺灣文學史上拓劃出一片詩意的人文景觀。</w:t>
      </w:r>
    </w:p>
    <w:p>
      <w:pPr>
        <w:spacing w:before="240" w:after="240"/>
      </w:pPr>
      <w:r>
        <w:t>文學巨擘辭世有如臺灣文學的天空彗星殞落，這次的書展希望可以讓大家再重溫一次楊牧老師的作品。</w:t>
      </w:r>
    </w:p>
    <w:p>
      <w:pPr>
        <w:spacing w:before="240" w:after="240"/>
      </w:pPr>
      <w:r>
        <w:t>歡迎大家到總館2樓看展。</w:t>
      </w:r>
    </w:p>
    <w:p>
      <w:pPr>
        <w:spacing w:before="240" w:after="240"/>
      </w:pPr>
      <w:r>
        <w:t> </w:t>
      </w:r>
    </w:p>
    <w:p>
      <w:pPr>
        <w:spacing w:before="240" w:after="240"/>
      </w:pPr>
      <w:r>
        <w:t>楊牧數位主題館 http://yang-mu.blogspot.com/</w:t>
      </w:r>
    </w:p>
    <w:p>
      <w:pPr>
        <w:spacing w:before="240" w:after="240"/>
      </w:pPr>
      <w:r>
        <w:t> </w:t>
      </w:r>
    </w:p>
    <w:p>
      <w:pPr>
        <w:spacing w:before="240" w:after="240"/>
        <w:jc w:val="right"/>
      </w:pPr>
      <w:bookmarkEnd w:id="3"/>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4" w:name="6"/>
      <w:r>
        <w:rPr>
          <w:rFonts w:ascii="Times New Roman" w:eastAsia="Times New Roman" w:hAnsi="Times New Roman" w:cs="Times New Roman"/>
          <w:i w:val="0"/>
          <w:iCs w:val="0"/>
        </w:rPr>
        <w:t>歡迎各單位出版品由出版中心統一申請ISBN、CIP、GPN</w:t>
      </w:r>
    </w:p>
    <w:p/>
    <w:p>
      <w:pPr>
        <w:spacing w:before="240" w:after="240"/>
        <w:jc w:val="right"/>
      </w:pPr>
      <w:r>
        <w:t>出版中心</w:t>
      </w:r>
    </w:p>
    <w:p>
      <w:pPr>
        <w:spacing w:before="240" w:after="240"/>
      </w:pPr>
      <w:r>
        <w:t> </w:t>
      </w:r>
    </w:p>
    <w:p>
      <w:pPr>
        <w:spacing w:before="240" w:after="240"/>
      </w:pPr>
      <w:r>
        <w:t>歡迎各單位出版品由出版中心統一申請ISBN、CIP、GPN</w:t>
      </w:r>
    </w:p>
    <w:p>
      <w:pPr>
        <w:spacing w:before="240" w:after="240"/>
      </w:pPr>
      <w:r>
        <w:t>一、依據本校「出版品管理要點」辦理(http://press.lib.ntnu.edu.tw/node/179)。</w:t>
      </w:r>
    </w:p>
    <w:p>
      <w:pPr>
        <w:spacing w:before="240" w:after="240"/>
      </w:pPr>
      <w:r>
        <w:t>二、出版中心辦理各單位出版品（圖書、電子、非書資料）、連續性刊物之國際標準號碼(ISBN、ISSN等)、出版品預行編目(CIP)， 以及政府出版統一編號(GPN)申請。</w:t>
      </w:r>
    </w:p>
    <w:p>
      <w:pPr>
        <w:spacing w:before="240" w:after="240"/>
      </w:pPr>
      <w:r>
        <w:t>三、申請所需文件</w:t>
      </w:r>
    </w:p>
    <w:p>
      <w:pPr>
        <w:spacing w:before="240" w:after="240"/>
      </w:pPr>
      <w:r>
        <w:t>1. 申請表：http://press.lib.ntnu.edu.tw/node/19</w:t>
      </w:r>
    </w:p>
    <w:p>
      <w:pPr>
        <w:spacing w:before="240" w:after="240"/>
      </w:pPr>
      <w:r>
        <w:t>2. 書名頁</w:t>
      </w:r>
    </w:p>
    <w:p>
      <w:pPr>
        <w:spacing w:before="240" w:after="240"/>
      </w:pPr>
      <w:r>
        <w:t>3. 版權頁</w:t>
      </w:r>
    </w:p>
    <w:p>
      <w:pPr>
        <w:spacing w:before="240" w:after="240"/>
      </w:pPr>
      <w:r>
        <w:t>4. 目次</w:t>
      </w:r>
    </w:p>
    <w:p>
      <w:pPr>
        <w:spacing w:before="240" w:after="240"/>
      </w:pPr>
      <w:r>
        <w:t>5. 序/部分內容</w:t>
      </w:r>
    </w:p>
    <w:p>
      <w:pPr>
        <w:spacing w:before="240" w:after="240"/>
      </w:pPr>
      <w:r>
        <w:t>備妥上述相關資料電子檔email至出版中心annie@ntnu.edu.tw</w:t>
      </w:r>
    </w:p>
    <w:p>
      <w:pPr>
        <w:spacing w:before="240" w:after="240"/>
      </w:pPr>
      <w:r>
        <w:t>四、封面/版權頁標示</w:t>
      </w:r>
    </w:p>
    <w:p>
      <w:pPr>
        <w:spacing w:before="240" w:after="240"/>
      </w:pPr>
      <w:r>
        <w:t>本校出版品於封面(或外盒)及版權頁，應完整標示出版資訊，加註出版者為「國立臺灣師範大學」、編輯單位為「所屬教研或行政單位」、著作權管理訊息(說明著作權歸屬及授權管道或聯絡途徑)。</w:t>
      </w:r>
    </w:p>
    <w:p>
      <w:pPr>
        <w:spacing w:before="240" w:after="240"/>
      </w:pPr>
      <w:r>
        <w:t>五、正式出版</w:t>
      </w:r>
    </w:p>
    <w:p>
      <w:pPr>
        <w:spacing w:before="240" w:after="240"/>
      </w:pPr>
      <w:r>
        <w:t>各單位印製之出版品於正式出版後，應自行寄送法定寄存圖書，並填具「出版品管理執行檢核表」(http://press.lib.ntnu.edu.tw/sites/default/files/check.docx)連同寄存本校圖書館圖書送至出版中心。</w:t>
      </w:r>
    </w:p>
    <w:p>
      <w:pPr>
        <w:spacing w:before="240" w:after="240"/>
        <w:jc w:val="right"/>
      </w:pPr>
      <w:bookmarkEnd w:id="4"/>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5" w:name="7"/>
      <w:r>
        <w:rPr>
          <w:rFonts w:ascii="Times New Roman" w:eastAsia="Times New Roman" w:hAnsi="Times New Roman" w:cs="Times New Roman"/>
          <w:i w:val="0"/>
          <w:iCs w:val="0"/>
        </w:rPr>
        <w:t>臺師大出版中心購物站滿199超取免運</w:t>
      </w:r>
    </w:p>
    <w:p/>
    <w:p>
      <w:pPr>
        <w:spacing w:before="240" w:after="240"/>
        <w:jc w:val="right"/>
      </w:pPr>
      <w:r>
        <w:t>出版中心</w:t>
      </w:r>
    </w:p>
    <w:p>
      <w:pPr>
        <w:spacing w:before="240" w:after="240"/>
      </w:pPr>
      <w:r>
        <w:t> </w:t>
      </w:r>
    </w:p>
    <w:p>
      <w:pPr>
        <w:spacing w:before="240" w:after="240"/>
      </w:pPr>
      <w:r>
        <w:t>許多師大人都想要在新竹苗栗彰化嘉義屏東花蓮臺東南投等地...購買臺師大商品，由於校外市集能到的地方有限，或是平日上班無法親自來實體店面，但你們的敲碗聲，小編都有錄起來拉~~</w:t>
      </w:r>
    </w:p>
    <w:p>
      <w:pPr>
        <w:spacing w:before="240" w:after="240"/>
      </w:pPr>
      <w:r>
        <w:t>3/30至4/5臺師大出版中心購物站訂單滿199元，超取免運。春假可以好好在家選購商品了對吧！</w:t>
      </w:r>
    </w:p>
    <w:p>
      <w:pPr>
        <w:spacing w:before="240" w:after="240"/>
      </w:pPr>
      <w:r>
        <w:t> </w:t>
      </w:r>
    </w:p>
    <w:p>
      <w:pPr>
        <w:spacing w:before="240" w:after="240"/>
      </w:pPr>
      <w:r>
        <w:t>臺師大出版中心購物站：http://eshop.lib.ntnu.edu.tw/</w:t>
      </w:r>
    </w:p>
    <w:p>
      <w:pPr>
        <w:spacing w:before="240" w:after="240"/>
      </w:pPr>
      <w:r>
        <w:t> </w:t>
      </w:r>
    </w:p>
    <w:p>
      <w:pPr>
        <w:spacing w:before="240" w:after="240"/>
      </w:pPr>
      <w:r>
        <w:t>●記得先創立帳號(網站右上角註冊)，我們也會加快審核速度！</w:t>
      </w:r>
    </w:p>
    <w:p>
      <w:pPr>
        <w:spacing w:before="240" w:after="240"/>
      </w:pPr>
      <w:r>
        <w:t>●春假期間不出貨，待04/07 確認款項到匯後再陸續出貨喔，也麻煩給小編一些時間幫大家包貨。</w:t>
      </w:r>
    </w:p>
    <w:p>
      <w:pPr>
        <w:spacing w:before="240" w:after="240"/>
      </w:pPr>
      <w:r>
        <w:t> </w:t>
      </w:r>
    </w:p>
    <w:p>
      <w:pPr>
        <w:spacing w:before="240" w:after="240"/>
      </w:pPr>
      <w:r>
        <w:t>最後希望大家對我們的購物站，多給予支持及鼓勵。</w:t>
      </w:r>
    </w:p>
    <w:p>
      <w:pPr>
        <w:spacing w:before="240" w:after="240"/>
        <w:jc w:val="right"/>
      </w:pPr>
      <w:bookmarkEnd w:id="5"/>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6" w:name="8"/>
      <w:r>
        <w:rPr>
          <w:rFonts w:ascii="Times New Roman" w:eastAsia="Times New Roman" w:hAnsi="Times New Roman" w:cs="Times New Roman"/>
          <w:i w:val="0"/>
          <w:iCs w:val="0"/>
        </w:rPr>
        <w:t>尋找有緣人市集</w:t>
      </w:r>
    </w:p>
    <w:p/>
    <w:p>
      <w:pPr>
        <w:spacing w:before="240" w:after="240"/>
        <w:jc w:val="right"/>
      </w:pPr>
      <w:r>
        <w:t>出版中心</w:t>
      </w:r>
    </w:p>
    <w:p>
      <w:pPr>
        <w:spacing w:before="240" w:after="240"/>
      </w:pPr>
      <w:r>
        <w:t> </w:t>
      </w:r>
    </w:p>
    <w:p>
      <w:pPr>
        <w:spacing w:before="240" w:after="240"/>
      </w:pPr>
      <w:r>
        <w:t>4月是春暖花開時節，也是環保的月份，出版中心舉辦「尋找有緣人」活動，希望環保不需費力勞心，日常中實踐即可，每個小決定都讓世界變得更好。除鼓勵減少一次性商品使用，也鼓勵珍惜資源重覆再利用。有緣人市集中的商品，有回頭書、展示衣、馬克杯、保溫杯、提袋、各類筆記本及鋼珠筆……，雖都有小瑕疵，但功能無損，等待有緣人將他們帶回家。</w:t>
      </w:r>
    </w:p>
    <w:p>
      <w:pPr>
        <w:spacing w:before="240" w:after="240"/>
      </w:pPr>
      <w:r>
        <w:t>4/7(二)至4/30(四)歡迎大家至本部文薈廳挖寶，除了撿便宜，也來尋找你環保的另一半。</w:t>
      </w:r>
    </w:p>
    <w:p>
      <w:pPr>
        <w:spacing w:before="240" w:after="240"/>
        <w:jc w:val="right"/>
      </w:pPr>
      <w:bookmarkEnd w:id="6"/>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7" w:name="9"/>
      <w:r>
        <w:rPr>
          <w:rFonts w:ascii="Times New Roman" w:eastAsia="Times New Roman" w:hAnsi="Times New Roman" w:cs="Times New Roman"/>
          <w:i w:val="0"/>
          <w:iCs w:val="0"/>
        </w:rPr>
        <w:t>【林口分館】「2020僑見故鄉特展工作坊」活動報導</w:t>
      </w:r>
    </w:p>
    <w:p/>
    <w:p>
      <w:pPr>
        <w:spacing w:before="240" w:after="240"/>
        <w:jc w:val="right"/>
      </w:pPr>
      <w:r>
        <w:t>林口分館</w:t>
      </w:r>
    </w:p>
    <w:p>
      <w:pPr>
        <w:spacing w:before="240" w:after="240"/>
      </w:pPr>
      <w:r>
        <w:t>僑見故鄉特展，是圖書館林口分館與僑生先修部地理科合作辦理的活動，地理科老師指導學生完成介紹故鄉的專題作品，圖書館主要負責作品的策展與之後的數位典藏事宜，以及以圖書資訊學知識提供協助。對於學生而言，這也許只是一個作品和一場展覽，但我們更希望在完成這項作品的過程中，學生能帶走更多能應用在各領域的技能。</w:t>
      </w:r>
    </w:p>
    <w:p>
      <w:pPr>
        <w:spacing w:before="240" w:after="240"/>
      </w:pPr>
      <w:r>
        <w:t>僑見故鄉特展的辦理今年已經進入第三年，看到每屆同學作品展現出的無限創意，總是讓人感到驚豔，但部分作品可能因為找資料技巧的缺乏、著作權觀念的不足，造成內容過於淺薄空泛、有違反著作權疑慮等問題，最後無法展出典藏，實在可惜。</w:t>
      </w:r>
    </w:p>
    <w:p>
      <w:pPr>
        <w:spacing w:before="240" w:after="240"/>
      </w:pPr>
      <w:r>
        <w:t>今年我們選在作品製作期程的初期，辦理「2020僑見故鄉特展工作坊」，從圖書館資源介紹、資訊檢索技巧、網路資訊評價，引導同學找到優質資料；並以著作權觀念介紹與引用原則、作品規格與製作時注意事項等，使同學在製作作品時能注意尊重別人的智慧財產權，也順利完成自己的作品，少走冤枉路。</w:t>
      </w:r>
    </w:p>
    <w:p>
      <w:pPr>
        <w:spacing w:before="240" w:after="240"/>
      </w:pPr>
      <w:r>
        <w:t> 工作坊在3/19中午順利結束，接下來就讓我們一起期待同學的精彩作品吧！</w:t>
      </w:r>
    </w:p>
    <w:p>
      <w:pPr>
        <w:spacing w:before="240" w:after="240"/>
        <w:jc w:val="right"/>
      </w:pPr>
      <w:bookmarkEnd w:id="7"/>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8" w:name="10"/>
      <w:r>
        <w:rPr>
          <w:rFonts w:ascii="Times New Roman" w:eastAsia="Times New Roman" w:hAnsi="Times New Roman" w:cs="Times New Roman"/>
          <w:i w:val="0"/>
          <w:iCs w:val="0"/>
        </w:rPr>
        <w:t>防疫期間線上免費資源</w:t>
      </w:r>
    </w:p>
    <w:p/>
    <w:p>
      <w:pPr>
        <w:spacing w:before="240" w:after="240"/>
        <w:jc w:val="right"/>
      </w:pPr>
      <w:r>
        <w:t>推廣諮詢組</w:t>
      </w:r>
    </w:p>
    <w:p>
      <w:pPr>
        <w:numPr>
          <w:ilvl w:val="0"/>
          <w:numId w:val="2"/>
        </w:numPr>
        <w:spacing w:before="240"/>
        <w:ind w:left="720" w:hanging="242"/>
        <w:jc w:val="left"/>
      </w:pPr>
      <w:r>
        <w:t>劍橋大學出版社(</w:t>
      </w:r>
      <w:bookmarkEnd w:id="8"/>
      <w:r>
        <w:fldChar w:fldCharType="begin"/>
      </w:r>
      <w:r>
        <w:instrText xml:space="preserve"> HYPERLINK "https://www.cambridge.org/core/what-we-publish/textbooks" </w:instrText>
      </w:r>
      <w:r>
        <w:fldChar w:fldCharType="separate"/>
      </w:r>
      <w:r>
        <w:rPr>
          <w:color w:val="0000EE"/>
          <w:u w:val="single" w:color="0000EE"/>
        </w:rPr>
        <w:t>https://www.cambridge.org/core/what-we-publish/textbooks</w:t>
      </w:r>
      <w:r>
        <w:rPr>
          <w:color w:val="0000EE"/>
          <w:u w:val="single" w:color="0000EE"/>
        </w:rPr>
        <w:fldChar w:fldCharType="end"/>
      </w:r>
      <w:r>
        <w:t>)：</w:t>
      </w:r>
      <w:r>
        <w:t>以HTML格式免費提供高等教育教科書。無論以前是否購買過教科書，都可以在Cambridge Core上找到700多種已出版和當前可用的教科書，即日起至2020年5月皆為免費。</w:t>
      </w:r>
    </w:p>
    <w:p>
      <w:pPr>
        <w:numPr>
          <w:ilvl w:val="0"/>
          <w:numId w:val="2"/>
        </w:numPr>
        <w:ind w:left="720" w:hanging="242"/>
        <w:jc w:val="left"/>
      </w:pPr>
      <w:r>
        <w:t>杜克大學出版社(</w:t>
      </w:r>
      <w:r>
        <w:fldChar w:fldCharType="begin"/>
      </w:r>
      <w:r>
        <w:instrText xml:space="preserve"> HYPERLINK "https://www.dukeupress.edu/" </w:instrText>
      </w:r>
      <w:r>
        <w:fldChar w:fldCharType="separate"/>
      </w:r>
      <w:r>
        <w:rPr>
          <w:color w:val="0000EE"/>
          <w:u w:val="single" w:color="0000EE"/>
        </w:rPr>
        <w:t>https://www.dukeupress.edu/</w:t>
      </w:r>
      <w:r>
        <w:rPr>
          <w:color w:val="0000EE"/>
          <w:u w:val="single" w:color="0000EE"/>
        </w:rPr>
        <w:fldChar w:fldCharType="end"/>
      </w:r>
      <w:r>
        <w:t>)：</w:t>
      </w:r>
      <w:r>
        <w:t>提供90天的免費課程資料線上取用（包括Duke eBook Collection）。請聯繫orders@dukeupress.edu了解更多資訊。</w:t>
      </w:r>
    </w:p>
    <w:p>
      <w:pPr>
        <w:numPr>
          <w:ilvl w:val="0"/>
          <w:numId w:val="2"/>
        </w:numPr>
        <w:ind w:left="720" w:hanging="242"/>
        <w:jc w:val="left"/>
      </w:pPr>
      <w:r>
        <w:t>麻省理工學院出版社(</w:t>
      </w:r>
      <w:r>
        <w:fldChar w:fldCharType="begin"/>
      </w:r>
      <w:r>
        <w:instrText xml:space="preserve"> HYPERLINK "https://mitpress.mit.edu/" </w:instrText>
      </w:r>
      <w:r>
        <w:fldChar w:fldCharType="separate"/>
      </w:r>
      <w:r>
        <w:rPr>
          <w:color w:val="0000EE"/>
          <w:u w:val="single" w:color="0000EE"/>
        </w:rPr>
        <w:t>https://mitpress.mit.edu/</w:t>
      </w:r>
      <w:r>
        <w:rPr>
          <w:color w:val="0000EE"/>
          <w:u w:val="single" w:color="0000EE"/>
        </w:rPr>
        <w:fldChar w:fldCharType="end"/>
      </w:r>
      <w:r>
        <w:t>)：</w:t>
      </w:r>
      <w:r>
        <w:t>麻省理工學院出版社為圖書館提供免費使用MIT Press Direct上的電子書目錄的權限，直到2020年5月為止，以支持遠距工作和學習的教師和學生。</w:t>
      </w:r>
    </w:p>
    <w:p>
      <w:pPr>
        <w:numPr>
          <w:ilvl w:val="0"/>
          <w:numId w:val="2"/>
        </w:numPr>
        <w:ind w:left="720" w:hanging="242"/>
        <w:jc w:val="left"/>
      </w:pPr>
      <w:r>
        <w:t>俄亥俄州立大學出版社(</w:t>
      </w:r>
      <w:r>
        <w:fldChar w:fldCharType="begin"/>
      </w:r>
      <w:r>
        <w:instrText xml:space="preserve"> HYPERLINK "https://kb.osu.edu/" </w:instrText>
      </w:r>
      <w:r>
        <w:fldChar w:fldCharType="separate"/>
      </w:r>
      <w:r>
        <w:rPr>
          <w:color w:val="0000EE"/>
          <w:u w:val="single" w:color="0000EE"/>
        </w:rPr>
        <w:t>https://kb.osu.edu/</w:t>
      </w:r>
      <w:r>
        <w:rPr>
          <w:color w:val="0000EE"/>
          <w:u w:val="single" w:color="0000EE"/>
        </w:rPr>
        <w:fldChar w:fldCharType="end"/>
      </w:r>
      <w:r>
        <w:t>)：俄亥俄州立大學出版社的所有學術專書，以及語言學教科書的語言文件都透過俄亥俄州立大學圖書館的機構典藏庫免費開放使用。</w:t>
      </w:r>
    </w:p>
    <w:p>
      <w:pPr>
        <w:numPr>
          <w:ilvl w:val="0"/>
          <w:numId w:val="2"/>
        </w:numPr>
        <w:ind w:left="720" w:hanging="242"/>
        <w:jc w:val="left"/>
      </w:pPr>
      <w:r>
        <w:t>科睿唯安在線學院(</w:t>
      </w:r>
      <w:r>
        <w:fldChar w:fldCharType="begin"/>
      </w:r>
      <w:r>
        <w:instrText xml:space="preserve"> HYPERLINK "https://clarivate.com.cn/e-clarivate/index.htm" </w:instrText>
      </w:r>
      <w:r>
        <w:fldChar w:fldCharType="separate"/>
      </w:r>
      <w:r>
        <w:rPr>
          <w:color w:val="0000EE"/>
          <w:u w:val="single" w:color="0000EE"/>
        </w:rPr>
        <w:t>https://clarivate.com.cn/e-clarivate/index.htm</w:t>
      </w:r>
      <w:r>
        <w:rPr>
          <w:color w:val="0000EE"/>
          <w:u w:val="single" w:color="0000EE"/>
        </w:rPr>
        <w:fldChar w:fldCharType="end"/>
      </w:r>
      <w:r>
        <w:t>) ：提供Web of Science、企業創新與知識產權、生命科學與製藥等課程內容。</w:t>
      </w:r>
    </w:p>
    <w:p>
      <w:pPr>
        <w:numPr>
          <w:ilvl w:val="0"/>
          <w:numId w:val="2"/>
        </w:numPr>
        <w:ind w:left="720" w:hanging="242"/>
        <w:jc w:val="left"/>
      </w:pPr>
      <w:r>
        <w:t>碩睿資訊教育訓練課程服務 (</w:t>
      </w:r>
      <w:r>
        <w:fldChar w:fldCharType="begin"/>
      </w:r>
      <w:r>
        <w:instrText xml:space="preserve"> HYPERLINK "https://www.sris.com.tw/Events/OTC/index.html%20" </w:instrText>
      </w:r>
      <w:r>
        <w:fldChar w:fldCharType="separate"/>
      </w:r>
      <w:r>
        <w:rPr>
          <w:color w:val="0000EE"/>
          <w:u w:val="single" w:color="0000EE"/>
        </w:rPr>
        <w:t>https://www.sris.com.tw/Events/OTC/index.html</w:t>
      </w:r>
      <w:r>
        <w:rPr>
          <w:color w:val="0000EE"/>
          <w:u w:val="single" w:color="0000EE"/>
        </w:rPr>
        <w:fldChar w:fldCharType="end"/>
      </w:r>
      <w:r>
        <w:t xml:space="preserve"> )：</w:t>
      </w:r>
      <w:r>
        <w:t>提供Web of Science、Journal Citation Reports、EndNote等不同主題之豐富課程內容。</w:t>
      </w:r>
    </w:p>
    <w:p>
      <w:pPr>
        <w:numPr>
          <w:ilvl w:val="0"/>
          <w:numId w:val="2"/>
        </w:numPr>
        <w:spacing w:before="240" w:after="240"/>
        <w:ind w:left="720" w:hanging="242"/>
        <w:jc w:val="left"/>
      </w:pPr>
      <w:r>
        <w:t>常春藤450堂課 Ivy League courses(</w:t>
      </w:r>
      <w:r>
        <w:fldChar w:fldCharType="begin"/>
      </w:r>
      <w:r>
        <w:instrText xml:space="preserve"> HYPERLINK "https://reurl.cc/Y19Gea" </w:instrText>
      </w:r>
      <w:r>
        <w:fldChar w:fldCharType="separate"/>
      </w:r>
      <w:r>
        <w:rPr>
          <w:color w:val="0000EE"/>
          <w:u w:val="single" w:color="0000EE"/>
        </w:rPr>
        <w:t>https://reurl.cc/Y19Gea</w:t>
      </w:r>
      <w:r>
        <w:rPr>
          <w:color w:val="0000EE"/>
          <w:u w:val="single" w:color="0000EE"/>
        </w:rPr>
        <w:fldChar w:fldCharType="end"/>
      </w:r>
      <w:r>
        <w:t>)：常春藤聯盟的8所學校450堂免費課程，包括布朗大學、哈佛大學，康奈爾大學、普林斯頓大學、達特茅斯大學、耶魯大學、哥倫比亞大學，以及賓夕法尼亞大學。</w:t>
      </w:r>
    </w:p>
    <w:p>
      <w:pPr>
        <w:numPr>
          <w:ilvl w:val="0"/>
          <w:numId w:val="2"/>
        </w:numPr>
        <w:spacing w:before="240" w:after="240"/>
        <w:ind w:left="720" w:hanging="242"/>
        <w:jc w:val="left"/>
      </w:pPr>
      <w:r>
        <w:t>紐約公共圖書館(</w:t>
      </w:r>
      <w:r>
        <w:fldChar w:fldCharType="begin"/>
      </w:r>
      <w:r>
        <w:instrText xml:space="preserve"> HYPERLINK "https://www.nypl.org/" </w:instrText>
      </w:r>
      <w:r>
        <w:fldChar w:fldCharType="separate"/>
      </w:r>
      <w:r>
        <w:rPr>
          <w:color w:val="0000EE"/>
          <w:u w:val="single" w:color="0000EE"/>
        </w:rPr>
        <w:t>https://www.nypl.org/</w:t>
      </w:r>
      <w:r>
        <w:rPr>
          <w:color w:val="0000EE"/>
          <w:u w:val="single" w:color="0000EE"/>
        </w:rPr>
        <w:fldChar w:fldCharType="end"/>
      </w:r>
      <w:r>
        <w:t>)：iPhone 或Android 皆可下載 NYPL的SimplyE APP，借閱館藏30萬本電子書中目前可借閱三本。另可搜索圖書館的800,000種數位化的館藏，包括歷史印刷品、照片、地圖和手稿。</w:t>
      </w:r>
    </w:p>
    <w:p>
      <w:pPr>
        <w:numPr>
          <w:ilvl w:val="0"/>
          <w:numId w:val="2"/>
        </w:numPr>
        <w:spacing w:before="240" w:after="240"/>
        <w:ind w:left="720" w:hanging="242"/>
        <w:jc w:val="left"/>
      </w:pPr>
      <w:r>
        <w:t>亞馬遜全球聽書(</w:t>
      </w:r>
      <w:r>
        <w:fldChar w:fldCharType="begin"/>
      </w:r>
      <w:r>
        <w:instrText xml:space="preserve"> HYPERLINK "http://stories.audible.com/discovery?fbclid=IwAR0bs6I8L4LsUqD6xbIAzfNl9cvuQBiiyjH_ACZWyCSsBd0Y8Wmv7cfgdQY" </w:instrText>
      </w:r>
      <w:r>
        <w:fldChar w:fldCharType="separate"/>
      </w:r>
      <w:r>
        <w:rPr>
          <w:color w:val="0000EE"/>
          <w:u w:val="single" w:color="0000EE"/>
        </w:rPr>
        <w:t>http://stories.audible.com/discovery?fbclid=IwAR0bs6I8L4LsUqD6xbIAzfNl9cvuQBiiyjH_ACZWyCSsBd0Y8Wmv7cfgdQY</w:t>
      </w:r>
      <w:r>
        <w:rPr>
          <w:color w:val="0000EE"/>
          <w:u w:val="single" w:color="0000EE"/>
        </w:rPr>
        <w:fldChar w:fldCharType="end"/>
      </w:r>
      <w:r>
        <w:t>)：為全世界暫時無法上學的孩子上線了Audible Stories。所有有聲書免費收聽，內容覆蓋學齡前到經典文學，無需下載app無需登錄無廣告，英/德/法/西/意/日六種語言。</w:t>
      </w:r>
    </w:p>
    <w:p>
      <w:pPr>
        <w:spacing w:before="240" w:after="240"/>
      </w:pPr>
      <w:r>
        <w:t> </w:t>
      </w:r>
    </w:p>
    <w:p>
      <w:pPr>
        <w:spacing w:before="240" w:after="240"/>
      </w:pPr>
      <w:r>
        <w:t>學術傳播小組：</w:t>
      </w:r>
      <w:r>
        <w:fldChar w:fldCharType="begin"/>
      </w:r>
      <w:r>
        <w:instrText xml:space="preserve"> HYPERLINK "http://oagroup.lib.ntnu.edu.tw/index.php/title-4" </w:instrText>
      </w:r>
      <w:r>
        <w:fldChar w:fldCharType="separate"/>
      </w:r>
      <w:r>
        <w:rPr>
          <w:color w:val="0000EE"/>
          <w:u w:val="single" w:color="0000EE"/>
        </w:rPr>
        <w:t>http://oagroup.lib.ntnu.edu.tw/index.php/title-4</w:t>
      </w:r>
      <w:r>
        <w:rPr>
          <w:color w:val="0000EE"/>
          <w:u w:val="single" w:color="0000EE"/>
        </w:rPr>
        <w:fldChar w:fldCharType="end"/>
      </w:r>
    </w:p>
    <w:p>
      <w:pPr>
        <w:spacing w:before="240" w:after="240"/>
      </w:pPr>
      <w:r>
        <w:t>防疫期間限定免費線上學習資源：</w:t>
      </w:r>
      <w:r>
        <w:fldChar w:fldCharType="begin"/>
      </w:r>
      <w:r>
        <w:instrText xml:space="preserve"> HYPERLINK "https://reurl.cc/QdjNz5" </w:instrText>
      </w:r>
      <w:r>
        <w:fldChar w:fldCharType="separate"/>
      </w:r>
      <w:r>
        <w:rPr>
          <w:color w:val="0000EE"/>
          <w:u w:val="single" w:color="0000EE"/>
        </w:rPr>
        <w:t>https://reurl.cc/QdjNz5</w:t>
      </w:r>
      <w:r>
        <w:rPr>
          <w:color w:val="0000EE"/>
          <w:u w:val="single" w:color="0000EE"/>
        </w:rPr>
        <w:fldChar w:fldCharType="end"/>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sectPr>
      <w:pgMar w:header="708" w:footer="708"/>
      <w:cols w:space="708"/>
    </w:sectPr>
  </w:body>
</w:document>
</file>

<file path=word/fontTable.xml><?xml version="1.0" encoding="utf-8"?>
<w:fonts xmlns:r="http://schemas.openxmlformats.org/officeDocument/2006/relationships" xmlns:w="http://schemas.openxmlformats.org/wordprocessingml/2006/main"/>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nsid w:val="00000002"/>
    <w:multiLevelType w:val="hybridMultilevel"/>
    <w:tmpl w:val="00000002"/>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efaultTabStop w:val="720"/>
  <w:noPunctuationKerning/>
  <w:characterSpacingControl w:val="doNotCompress"/>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i w:val="0"/>
      <w:kern w:val="36"/>
      <w:sz w:val="48"/>
      <w:szCs w:val="48"/>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 w:val="0"/>
      <w:iCs/>
      <w:sz w:val="36"/>
      <w:szCs w:val="36"/>
    </w:rPr>
  </w:style>
  <w:style w:type="paragraph" w:styleId="Heading3">
    <w:name w:val="heading 3"/>
    <w:basedOn w:val="Normal"/>
    <w:next w:val="Normal"/>
    <w:qFormat/>
    <w:rsid w:val="00EF7B96"/>
    <w:pPr>
      <w:keepNext/>
      <w:spacing w:before="240" w:after="60"/>
      <w:outlineLvl w:val="2"/>
    </w:pPr>
    <w:rPr>
      <w:rFonts w:ascii="Times New Roman" w:eastAsia="Times New Roman" w:hAnsi="Times New Roman" w:cs="Times New Roman"/>
      <w:b/>
      <w:bCs/>
      <w:i w:val="0"/>
      <w:sz w:val="28"/>
      <w:szCs w:val="28"/>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i w:val="0"/>
      <w:sz w:val="24"/>
      <w:szCs w:val="24"/>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 w:val="0"/>
      <w:iCs/>
      <w:sz w:val="20"/>
      <w:szCs w:val="20"/>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i w:val="0"/>
      <w:sz w:val="16"/>
      <w:szCs w:val="16"/>
    </w:rPr>
  </w:style>
  <w:style w:type="character" w:default="1" w:styleId="DefaultParagraphFont">
    <w:name w:val="Default Paragraph Font"/>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numbering" Target="numbering.xml" /><Relationship Id="rId5"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國立臺灣師範大學圖書館電子報系統</dc:title>
  <cp:revision>0</cp:revision>
</cp:coreProperties>
</file>