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18.1 -->
  <w:body>
    <w:p>
      <w:pPr>
        <w:numPr>
          <w:ilvl w:val="0"/>
          <w:numId w:val="1"/>
        </w:numPr>
        <w:ind w:left="720" w:hanging="242"/>
        <w:jc w:val="left"/>
      </w:pPr>
      <w:r>
        <w:fldChar w:fldCharType="begin"/>
      </w:r>
      <w:r>
        <w:instrText xml:space="preserve"> HYPERLINK \l "2" </w:instrText>
      </w:r>
      <w:r>
        <w:fldChar w:fldCharType="separate"/>
      </w:r>
      <w:r>
        <w:rPr>
          <w:color w:val="0000EE"/>
          <w:u w:val="single" w:color="0000EE"/>
        </w:rPr>
        <w:t>總館新生活動——我I故我Type ／ 推廣諮詢組</w:t>
      </w:r>
      <w:r>
        <w:rPr>
          <w:color w:val="0000EE"/>
          <w:u w:val="single" w:color="0000EE"/>
        </w:rPr>
        <w:fldChar w:fldCharType="end"/>
      </w:r>
    </w:p>
    <w:p>
      <w:pPr>
        <w:numPr>
          <w:ilvl w:val="0"/>
          <w:numId w:val="1"/>
        </w:numPr>
        <w:ind w:left="720" w:hanging="242"/>
        <w:jc w:val="left"/>
      </w:pPr>
      <w:r>
        <w:fldChar w:fldCharType="begin"/>
      </w:r>
      <w:r>
        <w:instrText xml:space="preserve"> HYPERLINK \l "3" </w:instrText>
      </w:r>
      <w:r>
        <w:fldChar w:fldCharType="separate"/>
      </w:r>
      <w:r>
        <w:rPr>
          <w:color w:val="0000EE"/>
          <w:u w:val="single" w:color="0000EE"/>
        </w:rPr>
        <w:t>2025迎新系列活動報導 ／ 林口分館</w:t>
      </w:r>
      <w:r>
        <w:rPr>
          <w:color w:val="0000EE"/>
          <w:u w:val="single" w:color="0000EE"/>
        </w:rPr>
        <w:fldChar w:fldCharType="end"/>
      </w:r>
    </w:p>
    <w:p>
      <w:pPr>
        <w:numPr>
          <w:ilvl w:val="0"/>
          <w:numId w:val="1"/>
        </w:numPr>
        <w:ind w:left="720" w:hanging="242"/>
        <w:jc w:val="left"/>
      </w:pPr>
      <w:r>
        <w:fldChar w:fldCharType="begin"/>
      </w:r>
      <w:r>
        <w:instrText xml:space="preserve"> HYPERLINK \l "4" </w:instrText>
      </w:r>
      <w:r>
        <w:fldChar w:fldCharType="separate"/>
      </w:r>
      <w:r>
        <w:rPr>
          <w:color w:val="0000EE"/>
          <w:u w:val="single" w:color="0000EE"/>
        </w:rPr>
        <w:t>【2025 OA Week @NTNU】誰擁有我們的知識？開放報名中！ ／ 推廣諮詢組</w:t>
      </w:r>
      <w:r>
        <w:rPr>
          <w:color w:val="0000EE"/>
          <w:u w:val="single" w:color="0000EE"/>
        </w:rPr>
        <w:fldChar w:fldCharType="end"/>
      </w:r>
    </w:p>
    <w:p>
      <w:pPr>
        <w:numPr>
          <w:ilvl w:val="0"/>
          <w:numId w:val="1"/>
        </w:numPr>
        <w:spacing w:after="240"/>
        <w:ind w:left="720" w:hanging="242"/>
        <w:jc w:val="left"/>
      </w:pPr>
      <w:r>
        <w:fldChar w:fldCharType="begin"/>
      </w:r>
      <w:r>
        <w:instrText xml:space="preserve"> HYPERLINK \l "5" </w:instrText>
      </w:r>
      <w:r>
        <w:fldChar w:fldCharType="separate"/>
      </w:r>
      <w:r>
        <w:rPr>
          <w:color w:val="0000EE"/>
          <w:u w:val="single" w:color="0000EE"/>
        </w:rPr>
        <w:t>2025秋季論文寫作工作坊 ／ 推廣諮詢組</w:t>
      </w:r>
      <w:r>
        <w:rPr>
          <w:color w:val="0000EE"/>
          <w:u w:val="single" w:color="0000EE"/>
        </w:rPr>
        <w:fldChar w:fldCharType="end"/>
      </w:r>
    </w:p>
    <w:p>
      <w:pPr>
        <w:pStyle w:val="Heading2"/>
        <w:keepNext w:val="0"/>
        <w:spacing w:before="299" w:after="299"/>
        <w:outlineLvl w:val="9"/>
        <w:rPr>
          <w:b/>
          <w:bCs/>
          <w:sz w:val="36"/>
          <w:szCs w:val="36"/>
        </w:rPr>
      </w:pPr>
      <w:bookmarkStart w:id="0" w:name="2"/>
      <w:r>
        <w:rPr>
          <w:rFonts w:ascii="Times New Roman" w:eastAsia="Times New Roman" w:hAnsi="Times New Roman" w:cs="Times New Roman"/>
          <w:i w:val="0"/>
          <w:iCs w:val="0"/>
        </w:rPr>
        <w:t>總館新生活動——我I故我Type</w:t>
      </w:r>
    </w:p>
    <w:p/>
    <w:p>
      <w:pPr>
        <w:spacing w:before="240" w:after="240"/>
        <w:jc w:val="right"/>
      </w:pPr>
      <w:r>
        <w:t>推廣諮詢組</w:t>
      </w:r>
    </w:p>
    <w:p>
      <w:pPr>
        <w:spacing w:before="240" w:after="240"/>
      </w:pPr>
      <w:r>
        <w:rPr>
          <w:rFonts w:ascii="times new roman" w:eastAsia="times new roman" w:hAnsi="times new roman" w:cs="times new roman"/>
        </w:rPr>
        <w:t xml:space="preserve">　　總館新生活動【我I故我Type】開始囉～ </w:t>
      </w:r>
      <w:r>
        <w:rPr>
          <w:rFonts w:ascii="times new roman" w:eastAsia="times new roman" w:hAnsi="times new roman" w:cs="times new roman"/>
        </w:rPr>
        <w:t>I人不好意思開口詢問沒關係，圖書館提供各類線上服務，善用查找與檢索功能，自助也能找到所需資源🙂 請先至總館2樓櫃檯索取闖關卡。</w:t>
      </w:r>
      <w:r>
        <w:rPr>
          <w:rFonts w:ascii="times new roman" w:eastAsia="times new roman" w:hAnsi="times new roman" w:cs="times new roman"/>
        </w:rPr>
        <w:br/>
      </w:r>
      <w:r>
        <w:rPr>
          <w:rFonts w:ascii="times new roman" w:eastAsia="times new roman" w:hAnsi="times new roman" w:cs="times new roman"/>
        </w:rPr>
        <w:t>🔍對象：臺師大、臺大、臺科大在學學生</w:t>
      </w:r>
      <w:r>
        <w:rPr>
          <w:rFonts w:ascii="times new roman" w:eastAsia="times new roman" w:hAnsi="times new roman" w:cs="times new roman"/>
        </w:rPr>
        <w:br/>
      </w:r>
      <w:r>
        <w:rPr>
          <w:rFonts w:ascii="times new roman" w:eastAsia="times new roman" w:hAnsi="times new roman" w:cs="times new roman"/>
        </w:rPr>
        <w:t>🔍時間：2025/09/10(三)-10/26(日)</w:t>
      </w:r>
      <w:r>
        <w:rPr>
          <w:rFonts w:ascii="times new roman" w:eastAsia="times new roman" w:hAnsi="times new roman" w:cs="times new roman"/>
        </w:rPr>
        <w:br/>
      </w:r>
      <w:r>
        <w:rPr>
          <w:rFonts w:ascii="times new roman" w:eastAsia="times new roman" w:hAnsi="times new roman" w:cs="times new roman"/>
        </w:rPr>
        <w:t>🔍闖關卡聯繫資訊請清楚填寫以利通知。本卡完成後於2025/10/26 17:00前交至總館二樓櫃檯，逾時不候。得獎資訊公布於臺師大圖書館首頁，領獎須出示三校有效學生證。</w:t>
      </w:r>
    </w:p>
    <w:p>
      <w:pPr>
        <w:spacing w:before="240" w:after="240"/>
      </w:pPr>
      <w:r>
        <w:t> </w:t>
      </w:r>
    </w:p>
    <w:p>
      <w:pPr>
        <w:spacing w:before="240" w:after="240"/>
        <w:jc w:val="right"/>
      </w:pPr>
      <w:bookmarkEnd w:id="0"/>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1" w:name="3"/>
      <w:r>
        <w:rPr>
          <w:rFonts w:ascii="Times New Roman" w:eastAsia="Times New Roman" w:hAnsi="Times New Roman" w:cs="Times New Roman"/>
          <w:i w:val="0"/>
          <w:iCs w:val="0"/>
        </w:rPr>
        <w:t>2025迎新系列活動報導</w:t>
      </w:r>
    </w:p>
    <w:p/>
    <w:p>
      <w:pPr>
        <w:spacing w:before="240" w:after="240"/>
        <w:jc w:val="right"/>
      </w:pPr>
      <w:r>
        <w:t>林口分館</w:t>
      </w:r>
    </w:p>
    <w:p>
      <w:pPr>
        <w:spacing w:before="240" w:after="240"/>
      </w:pPr>
      <w:r>
        <w:rPr>
          <w:rFonts w:ascii="times new roman" w:eastAsia="times new roman" w:hAnsi="times new roman" w:cs="times new roman"/>
        </w:rPr>
        <w:t>　　今年林口校區太熱鬧！僑先部學生人數創新高，要怎麼讓僑先部同學以最快速度認識圖書館，並留下好印象，可是讓林口分館同仁傷透腦筋。最後我們規劃了九項新生任務，集點卡以井字遊戲為概念設計，邀請同學完成任務後集點連線，抽獎拿禮物，一開學就有個好彩頭！新生講習是最好的宣傳機會！充滿學生的禮堂，像一個大型演唱會現場，為了抓住新生注意力，讓他們對圖書館留下好印象並願意參加活動， 館員可是使出渾身解數，而到底是哪九項任務呢？請讓我們娓娓道來：</w:t>
      </w:r>
    </w:p>
    <w:tbl>
      <w:tblPr>
        <w:tblW w:w="4998" w:type="pct"/>
        <w:tblInd w:w="30" w:type="dxa"/>
        <w:tblBorders>
          <w:top w:val="outset" w:sz="6" w:space="0" w:color="808080"/>
          <w:left w:val="outset" w:sz="6" w:space="0" w:color="808080"/>
          <w:bottom w:val="outset" w:sz="6" w:space="0" w:color="808080"/>
          <w:right w:val="outset" w:sz="6" w:space="0" w:color="808080"/>
        </w:tblBorders>
        <w:tblCellMar>
          <w:top w:w="15" w:type="dxa"/>
          <w:left w:w="15" w:type="dxa"/>
          <w:bottom w:w="15" w:type="dxa"/>
          <w:right w:w="15" w:type="dxa"/>
        </w:tblCellMar>
      </w:tblPr>
      <w:tblGrid>
        <w:gridCol w:w="6081"/>
        <w:gridCol w:w="3215"/>
      </w:tblGrid>
      <w:tr>
        <w:tblPrEx>
          <w:tblW w:w="4998" w:type="pct"/>
          <w:tblInd w:w="30" w:type="dxa"/>
          <w:tblBorders>
            <w:top w:val="outset" w:sz="6" w:space="0" w:color="808080"/>
            <w:left w:val="outset" w:sz="6" w:space="0" w:color="808080"/>
            <w:bottom w:val="outset" w:sz="6" w:space="0" w:color="808080"/>
            <w:right w:val="outset" w:sz="6" w:space="0" w:color="808080"/>
          </w:tblBorders>
          <w:tblCellMar>
            <w:top w:w="15" w:type="dxa"/>
            <w:left w:w="15" w:type="dxa"/>
            <w:bottom w:w="15" w:type="dxa"/>
            <w:right w:w="15" w:type="dxa"/>
          </w:tblCellMar>
        </w:tblPrEx>
        <w:tc>
          <w:tcPr>
            <w:tcW w:w="3270" w:type="pct"/>
            <w:tcBorders>
              <w:right w:val="inset" w:sz="6" w:space="0" w:color="808080"/>
            </w:tcBorders>
            <w:noWrap w:val="0"/>
            <w:tcMar>
              <w:top w:w="22" w:type="dxa"/>
              <w:left w:w="22" w:type="dxa"/>
              <w:bottom w:w="22" w:type="dxa"/>
              <w:right w:w="22" w:type="dxa"/>
            </w:tcMar>
            <w:vAlign w:val="center"/>
          </w:tcPr>
          <w:p>
            <w:pPr>
              <w:rPr>
                <w:b w:val="0"/>
                <w:bCs w:val="0"/>
                <w:i w:val="0"/>
                <w:iCs w:val="0"/>
                <w:smallCaps w:val="0"/>
                <w:color w:val="000000"/>
              </w:rPr>
            </w:pPr>
          </w:p>
        </w:tc>
        <w:tc>
          <w:tcPr>
            <w:tcW w:w="1729" w:type="pct"/>
            <w:tcBorders>
              <w:left w:val="inset" w:sz="6" w:space="0" w:color="808080"/>
            </w:tcBorders>
            <w:noWrap w:val="0"/>
            <w:tcMar>
              <w:top w:w="22" w:type="dxa"/>
              <w:left w:w="22" w:type="dxa"/>
              <w:bottom w:w="22" w:type="dxa"/>
              <w:right w:w="22" w:type="dxa"/>
            </w:tcMar>
            <w:vAlign w:val="center"/>
          </w:tcPr>
          <w:p>
            <w:pPr>
              <w:rPr>
                <w:b w:val="0"/>
                <w:bCs w:val="0"/>
                <w:i w:val="0"/>
                <w:iCs w:val="0"/>
                <w:smallCaps w:val="0"/>
                <w:color w:val="000000"/>
              </w:rPr>
            </w:pPr>
          </w:p>
        </w:tc>
      </w:tr>
    </w:tbl>
    <w:p>
      <w:pPr>
        <w:spacing w:before="240" w:after="240"/>
      </w:pPr>
      <w:r>
        <w:rPr>
          <w:rFonts w:ascii="times new roman" w:eastAsia="times new roman" w:hAnsi="times new roman" w:cs="times new roman"/>
        </w:rPr>
        <w:t>🥳</w:t>
      </w:r>
      <w:r>
        <w:rPr>
          <w:rFonts w:ascii="times new roman" w:eastAsia="times new roman" w:hAnsi="times new roman" w:cs="times new roman"/>
          <w:b/>
          <w:bCs/>
          <w:color w:val="BA372A"/>
        </w:rPr>
        <w:t>迎新任務一、臺師大林口圖書分館粉絲大募集</w:t>
      </w:r>
      <w:r>
        <w:rPr>
          <w:rFonts w:ascii="times new roman" w:eastAsia="times new roman" w:hAnsi="times new roman" w:cs="times new roman"/>
          <w:b/>
          <w:bCs/>
          <w:color w:val="BA372A"/>
        </w:rPr>
        <w:br/>
      </w:r>
      <w:r>
        <w:rPr>
          <w:rFonts w:ascii="times new roman" w:eastAsia="times new roman" w:hAnsi="times new roman" w:cs="times new roman"/>
        </w:rPr>
        <w:t>時間：09/08-10/31</w:t>
      </w:r>
      <w:r>
        <w:rPr>
          <w:rFonts w:ascii="times new roman" w:eastAsia="times new roman" w:hAnsi="times new roman" w:cs="times new roman"/>
        </w:rPr>
        <w:br/>
      </w:r>
      <w:r>
        <w:rPr>
          <w:rFonts w:ascii="times new roman" w:eastAsia="times new roman" w:hAnsi="times new roman" w:cs="times new roman"/>
        </w:rPr>
        <w:t>活動說明：林口分館的臉書粉絲專頁是我們推廣行銷的重要管道，活動期間只要完成簡單二步驟：</w:t>
      </w:r>
      <w:r>
        <w:rPr>
          <w:rFonts w:ascii="times new roman" w:eastAsia="times new roman" w:hAnsi="times new roman" w:cs="times new roman"/>
        </w:rPr>
        <w:br/>
      </w:r>
      <w:r>
        <w:rPr>
          <w:rFonts w:ascii="times new roman" w:eastAsia="times new roman" w:hAnsi="times new roman" w:cs="times new roman"/>
        </w:rPr>
        <w:t>步驟一：追蹤林口圖書分館臉書粉專</w:t>
      </w:r>
      <w:r>
        <w:rPr>
          <w:rFonts w:ascii="times new roman" w:eastAsia="times new roman" w:hAnsi="times new roman" w:cs="times new roman"/>
        </w:rPr>
        <w:br/>
      </w:r>
      <w:r>
        <w:rPr>
          <w:rFonts w:ascii="times new roman" w:eastAsia="times new roman" w:hAnsi="times new roman" w:cs="times new roman"/>
        </w:rPr>
        <w:t>步驟二：活動貼文按讚，並分享此貼文。不僅能隨時掌握圖書館的最新消息，還可以立刻集一點！</w:t>
      </w:r>
    </w:p>
    <w:p>
      <w:pPr>
        <w:spacing w:before="240" w:after="240"/>
      </w:pPr>
      <w:r>
        <w:rPr>
          <w:rFonts w:ascii="times new roman" w:eastAsia="times new roman" w:hAnsi="times new roman" w:cs="times new roman"/>
        </w:rPr>
        <w:t>🥳</w:t>
      </w:r>
      <w:r>
        <w:rPr>
          <w:rFonts w:ascii="times new roman" w:eastAsia="times new roman" w:hAnsi="times new roman" w:cs="times new roman"/>
          <w:b/>
          <w:bCs/>
          <w:color w:val="BA372A"/>
        </w:rPr>
        <w:t>迎新任務二、I'm Here!</w:t>
      </w:r>
      <w:r>
        <w:rPr>
          <w:rFonts w:ascii="times new roman" w:eastAsia="times new roman" w:hAnsi="times new roman" w:cs="times new roman"/>
          <w:b/>
          <w:bCs/>
          <w:color w:val="BA372A"/>
        </w:rPr>
        <w:br/>
      </w:r>
      <w:r>
        <w:rPr>
          <w:rFonts w:ascii="times new roman" w:eastAsia="times new roman" w:hAnsi="times new roman" w:cs="times new roman"/>
        </w:rPr>
        <w:t>時間：09/08-10/31</w:t>
      </w:r>
      <w:r>
        <w:rPr>
          <w:rFonts w:ascii="times new roman" w:eastAsia="times new roman" w:hAnsi="times new roman" w:cs="times new roman"/>
        </w:rPr>
        <w:br/>
      </w:r>
      <w:r>
        <w:rPr>
          <w:rFonts w:ascii="times new roman" w:eastAsia="times new roman" w:hAnsi="times new roman" w:cs="times new roman"/>
        </w:rPr>
        <w:t>活動說明：我們在新生講習時以遊戲互動的方式，分區拍下新生「開心」、「可愛」、「認真」的照片，放在林口分館臉書粉專，邀請同學在講習結束後幫此貼文按讚後，找到自己的照片並tag自己或至少一位朋友，讓好朋友也看到你在臺灣開心的樣子！</w:t>
      </w:r>
      <w:r>
        <w:rPr>
          <w:rFonts w:ascii="times new roman" w:eastAsia="times new roman" w:hAnsi="times new roman" w:cs="times new roman"/>
        </w:rPr>
        <w:br/>
      </w:r>
      <w:r>
        <w:rPr>
          <w:rFonts w:ascii="times new roman" w:eastAsia="times new roman" w:hAnsi="times new roman" w:cs="times new roman"/>
        </w:rPr>
        <w:t>完成任務也可集一點喔！</w:t>
      </w:r>
    </w:p>
    <w:tbl>
      <w:tblPr>
        <w:tblW w:w="4998" w:type="pct"/>
        <w:tblInd w:w="30" w:type="dxa"/>
        <w:tblBorders>
          <w:top w:val="outset" w:sz="6" w:space="0" w:color="808080"/>
          <w:left w:val="outset" w:sz="6" w:space="0" w:color="808080"/>
          <w:bottom w:val="outset" w:sz="6" w:space="0" w:color="808080"/>
          <w:right w:val="outset" w:sz="6" w:space="0" w:color="808080"/>
        </w:tblBorders>
        <w:tblCellMar>
          <w:top w:w="15" w:type="dxa"/>
          <w:left w:w="15" w:type="dxa"/>
          <w:bottom w:w="15" w:type="dxa"/>
          <w:right w:w="15" w:type="dxa"/>
        </w:tblCellMar>
      </w:tblPr>
      <w:tblGrid>
        <w:gridCol w:w="4648"/>
        <w:gridCol w:w="4648"/>
      </w:tblGrid>
      <w:tr>
        <w:tblPrEx>
          <w:tblW w:w="4998" w:type="pct"/>
          <w:tblInd w:w="30" w:type="dxa"/>
          <w:tblBorders>
            <w:top w:val="outset" w:sz="6" w:space="0" w:color="808080"/>
            <w:left w:val="outset" w:sz="6" w:space="0" w:color="808080"/>
            <w:bottom w:val="outset" w:sz="6" w:space="0" w:color="808080"/>
            <w:right w:val="outset" w:sz="6" w:space="0" w:color="808080"/>
          </w:tblBorders>
          <w:tblCellMar>
            <w:top w:w="15" w:type="dxa"/>
            <w:left w:w="15" w:type="dxa"/>
            <w:bottom w:w="15" w:type="dxa"/>
            <w:right w:w="15" w:type="dxa"/>
          </w:tblCellMar>
        </w:tblPrEx>
        <w:tc>
          <w:tcPr>
            <w:tcW w:w="2446" w:type="pct"/>
            <w:tcBorders>
              <w:right w:val="inset" w:sz="6" w:space="0" w:color="808080"/>
            </w:tcBorders>
            <w:noWrap w:val="0"/>
            <w:tcMar>
              <w:top w:w="22" w:type="dxa"/>
              <w:left w:w="22" w:type="dxa"/>
              <w:bottom w:w="22" w:type="dxa"/>
              <w:right w:w="22" w:type="dxa"/>
            </w:tcMar>
            <w:vAlign w:val="center"/>
          </w:tcPr>
          <w:p>
            <w:pPr>
              <w:rPr>
                <w:b w:val="0"/>
                <w:bCs w:val="0"/>
                <w:i w:val="0"/>
                <w:iCs w:val="0"/>
                <w:smallCaps w:val="0"/>
                <w:color w:val="000000"/>
              </w:rPr>
            </w:pPr>
          </w:p>
        </w:tc>
        <w:tc>
          <w:tcPr>
            <w:tcW w:w="2446" w:type="pct"/>
            <w:tcBorders>
              <w:left w:val="inset" w:sz="6" w:space="0" w:color="808080"/>
            </w:tcBorders>
            <w:noWrap w:val="0"/>
            <w:tcMar>
              <w:top w:w="22" w:type="dxa"/>
              <w:left w:w="22" w:type="dxa"/>
              <w:bottom w:w="22" w:type="dxa"/>
              <w:right w:w="22" w:type="dxa"/>
            </w:tcMar>
            <w:vAlign w:val="center"/>
          </w:tcPr>
          <w:p>
            <w:pPr>
              <w:rPr>
                <w:b w:val="0"/>
                <w:bCs w:val="0"/>
                <w:i w:val="0"/>
                <w:iCs w:val="0"/>
                <w:smallCaps w:val="0"/>
                <w:color w:val="000000"/>
              </w:rPr>
            </w:pPr>
          </w:p>
        </w:tc>
      </w:tr>
    </w:tbl>
    <w:p>
      <w:pPr>
        <w:spacing w:before="240" w:after="240"/>
      </w:pPr>
      <w:r>
        <w:rPr>
          <w:rFonts w:ascii="times new roman" w:eastAsia="times new roman" w:hAnsi="times new roman" w:cs="times new roman"/>
        </w:rPr>
        <w:t>🥳</w:t>
      </w:r>
      <w:r>
        <w:rPr>
          <w:rFonts w:ascii="times new roman" w:eastAsia="times new roman" w:hAnsi="times new roman" w:cs="times new roman"/>
          <w:b/>
          <w:bCs/>
          <w:color w:val="BA372A"/>
        </w:rPr>
        <w:t>迎新任務三、圖書館初印象：選出你的命定角落</w:t>
      </w:r>
      <w:r>
        <w:rPr>
          <w:rFonts w:ascii="times new roman" w:eastAsia="times new roman" w:hAnsi="times new roman" w:cs="times new roman"/>
          <w:b/>
          <w:bCs/>
          <w:color w:val="BA372A"/>
        </w:rPr>
        <w:br/>
      </w:r>
      <w:r>
        <w:rPr>
          <w:rFonts w:ascii="times new roman" w:eastAsia="times new roman" w:hAnsi="times new roman" w:cs="times new roman"/>
        </w:rPr>
        <w:t>時間：09/08-10/31</w:t>
      </w:r>
      <w:r>
        <w:rPr>
          <w:rFonts w:ascii="times new roman" w:eastAsia="times new roman" w:hAnsi="times new roman" w:cs="times new roman"/>
        </w:rPr>
        <w:br/>
      </w:r>
      <w:r>
        <w:rPr>
          <w:rFonts w:ascii="times new roman" w:eastAsia="times new roman" w:hAnsi="times new roman" w:cs="times new roman"/>
        </w:rPr>
        <w:t>活動說明：同學在探索圖書館的過程中，一定會對圖書館的某些地方特別有感覺，我們邀請他們「按讚」活動貼文中喜愛的圖書館角落照片，並留言寫下喜愛的原因，這樣在活動的過程中同學也可以發現圖書館有哪些角落特別受歡迎，也可以從留言了解其他人喜歡這個角落的原因，甚至發現原本沒注意到的好地方喔！</w:t>
      </w:r>
    </w:p>
    <w:p>
      <w:pPr>
        <w:spacing w:before="240" w:after="240"/>
      </w:pPr>
      <w:r>
        <w:rPr>
          <w:rFonts w:ascii="times new roman" w:eastAsia="times new roman" w:hAnsi="times new roman" w:cs="times new roman"/>
        </w:rPr>
        <w:t>🥳</w:t>
      </w:r>
      <w:r>
        <w:rPr>
          <w:rFonts w:ascii="times new roman" w:eastAsia="times new roman" w:hAnsi="times new roman" w:cs="times new roman"/>
          <w:b/>
          <w:bCs/>
          <w:color w:val="BA372A"/>
        </w:rPr>
        <w:t>迎新任務四~五、「嗨~臺灣！」主題展</w:t>
      </w:r>
      <w:r>
        <w:rPr>
          <w:rFonts w:ascii="times new roman" w:eastAsia="times new roman" w:hAnsi="times new roman" w:cs="times new roman"/>
          <w:b/>
          <w:bCs/>
          <w:color w:val="BA372A"/>
        </w:rPr>
        <w:br/>
      </w:r>
      <w:r>
        <w:rPr>
          <w:rFonts w:ascii="times new roman" w:eastAsia="times new roman" w:hAnsi="times new roman" w:cs="times new roman"/>
        </w:rPr>
        <w:t>時間：09/08-10/31</w:t>
      </w:r>
      <w:r>
        <w:rPr>
          <w:rFonts w:ascii="times new roman" w:eastAsia="times new roman" w:hAnsi="times new roman" w:cs="times new roman"/>
        </w:rPr>
        <w:br/>
      </w:r>
      <w:r>
        <w:rPr>
          <w:rFonts w:ascii="times new roman" w:eastAsia="times new roman" w:hAnsi="times new roman" w:cs="times new roman"/>
        </w:rPr>
        <w:t>活動說明：為初到臺灣的同學們準備介紹臺灣的書籍與視聽館藏讓同學在觀展的過程中對臺灣快速形成概念，是圖書館每學年都少不了的知識饗宴，今年設計了兩個小任務，邀請同學觀展之餘兩點入袋！</w:t>
      </w:r>
      <w:r>
        <w:rPr>
          <w:rFonts w:ascii="times new roman" w:eastAsia="times new roman" w:hAnsi="times new roman" w:cs="times new roman"/>
        </w:rPr>
        <w:br/>
      </w:r>
      <w:r>
        <w:rPr>
          <w:rFonts w:ascii="times new roman" w:eastAsia="times new roman" w:hAnsi="times new roman" w:cs="times new roman"/>
        </w:rPr>
        <w:t>任務一：看完展後按讚FB活動貼文，到櫃臺出示畫面。</w:t>
      </w:r>
      <w:r>
        <w:rPr>
          <w:rFonts w:ascii="times new roman" w:eastAsia="times new roman" w:hAnsi="times new roman" w:cs="times new roman"/>
        </w:rPr>
        <w:br/>
      </w:r>
      <w:r>
        <w:rPr>
          <w:rFonts w:ascii="times new roman" w:eastAsia="times new roman" w:hAnsi="times new roman" w:cs="times new roman"/>
        </w:rPr>
        <w:t>任務二：將「你＋書」或「你＋展出的DVD」的合照上傳到FB活動貼文下，到櫃臺出示畫面</w:t>
      </w:r>
      <w:r>
        <w:rPr>
          <w:rFonts w:ascii="times new roman" w:eastAsia="times new roman" w:hAnsi="times new roman" w:cs="times new roman"/>
        </w:rPr>
        <w:br/>
      </w:r>
      <w:r>
        <w:rPr>
          <w:rFonts w:ascii="times new roman" w:eastAsia="times new roman" w:hAnsi="times new roman" w:cs="times new roman"/>
        </w:rPr>
        <w:t>完成任務也可集一點喔！</w:t>
      </w:r>
    </w:p>
    <w:tbl>
      <w:tblPr>
        <w:tblW w:w="4998" w:type="pct"/>
        <w:tblInd w:w="30" w:type="dxa"/>
        <w:tblBorders>
          <w:top w:val="outset" w:sz="6" w:space="0" w:color="808080"/>
          <w:left w:val="outset" w:sz="6" w:space="0" w:color="808080"/>
          <w:bottom w:val="outset" w:sz="6" w:space="0" w:color="808080"/>
          <w:right w:val="outset" w:sz="6" w:space="0" w:color="808080"/>
        </w:tblBorders>
        <w:tblCellMar>
          <w:top w:w="15" w:type="dxa"/>
          <w:left w:w="15" w:type="dxa"/>
          <w:bottom w:w="15" w:type="dxa"/>
          <w:right w:w="15" w:type="dxa"/>
        </w:tblCellMar>
      </w:tblPr>
      <w:tblGrid>
        <w:gridCol w:w="4648"/>
        <w:gridCol w:w="4648"/>
      </w:tblGrid>
      <w:tr>
        <w:tblPrEx>
          <w:tblW w:w="4998" w:type="pct"/>
          <w:tblInd w:w="30" w:type="dxa"/>
          <w:tblBorders>
            <w:top w:val="outset" w:sz="6" w:space="0" w:color="808080"/>
            <w:left w:val="outset" w:sz="6" w:space="0" w:color="808080"/>
            <w:bottom w:val="outset" w:sz="6" w:space="0" w:color="808080"/>
            <w:right w:val="outset" w:sz="6" w:space="0" w:color="808080"/>
          </w:tblBorders>
          <w:tblCellMar>
            <w:top w:w="15" w:type="dxa"/>
            <w:left w:w="15" w:type="dxa"/>
            <w:bottom w:w="15" w:type="dxa"/>
            <w:right w:w="15" w:type="dxa"/>
          </w:tblCellMar>
        </w:tblPrEx>
        <w:tc>
          <w:tcPr>
            <w:tcW w:w="2446" w:type="pct"/>
            <w:tcBorders>
              <w:right w:val="inset" w:sz="6" w:space="0" w:color="808080"/>
            </w:tcBorders>
            <w:noWrap w:val="0"/>
            <w:tcMar>
              <w:top w:w="22" w:type="dxa"/>
              <w:left w:w="22" w:type="dxa"/>
              <w:bottom w:w="22" w:type="dxa"/>
              <w:right w:w="22" w:type="dxa"/>
            </w:tcMar>
            <w:vAlign w:val="center"/>
          </w:tcPr>
          <w:p>
            <w:pPr>
              <w:rPr>
                <w:b w:val="0"/>
                <w:bCs w:val="0"/>
                <w:i w:val="0"/>
                <w:iCs w:val="0"/>
                <w:smallCaps w:val="0"/>
                <w:color w:val="000000"/>
              </w:rPr>
            </w:pPr>
          </w:p>
        </w:tc>
        <w:tc>
          <w:tcPr>
            <w:tcW w:w="2446" w:type="pct"/>
            <w:tcBorders>
              <w:left w:val="inset" w:sz="6" w:space="0" w:color="808080"/>
            </w:tcBorders>
            <w:noWrap w:val="0"/>
            <w:tcMar>
              <w:top w:w="22" w:type="dxa"/>
              <w:left w:w="22" w:type="dxa"/>
              <w:bottom w:w="22" w:type="dxa"/>
              <w:right w:w="22" w:type="dxa"/>
            </w:tcMar>
            <w:vAlign w:val="center"/>
          </w:tcPr>
          <w:p>
            <w:pPr>
              <w:rPr>
                <w:b w:val="0"/>
                <w:bCs w:val="0"/>
                <w:i w:val="0"/>
                <w:iCs w:val="0"/>
                <w:smallCaps w:val="0"/>
                <w:color w:val="000000"/>
              </w:rPr>
            </w:pPr>
          </w:p>
        </w:tc>
      </w:tr>
    </w:tbl>
    <w:p>
      <w:pPr>
        <w:spacing w:before="240" w:after="240"/>
      </w:pPr>
      <w:r>
        <w:rPr>
          <w:rFonts w:ascii="times new roman" w:eastAsia="times new roman" w:hAnsi="times new roman" w:cs="times new roman"/>
        </w:rPr>
        <w:t>🥳</w:t>
      </w:r>
      <w:r>
        <w:rPr>
          <w:rFonts w:ascii="times new roman" w:eastAsia="times new roman" w:hAnsi="times new roman" w:cs="times new roman"/>
          <w:b/>
          <w:bCs/>
          <w:color w:val="BA372A"/>
        </w:rPr>
        <w:t>迎新任務六、臺灣拼拼樂</w:t>
      </w:r>
      <w:r>
        <w:rPr>
          <w:rFonts w:ascii="times new roman" w:eastAsia="times new roman" w:hAnsi="times new roman" w:cs="times new roman"/>
          <w:b/>
          <w:bCs/>
          <w:color w:val="BA372A"/>
        </w:rPr>
        <w:br/>
      </w:r>
      <w:r>
        <w:rPr>
          <w:rFonts w:ascii="times new roman" w:eastAsia="times new roman" w:hAnsi="times new roman" w:cs="times new roman"/>
        </w:rPr>
        <w:t>時間：09/08-10/31</w:t>
      </w:r>
      <w:r>
        <w:rPr>
          <w:rFonts w:ascii="times new roman" w:eastAsia="times new roman" w:hAnsi="times new roman" w:cs="times new roman"/>
        </w:rPr>
        <w:br/>
      </w:r>
      <w:r>
        <w:rPr>
          <w:rFonts w:ascii="times new roman" w:eastAsia="times new roman" w:hAnsi="times new roman" w:cs="times new roman"/>
        </w:rPr>
        <w:t>活動說明：看書認識臺灣還不夠，圖書館還準備了兩幅不同風格的「臺灣拼圖」，讓同學“動手”認識臺灣，只要將兩幅臺灣拼圖中的任一幅拼圖完成後拿到櫃檯，除了好玩，還可集一點！</w:t>
      </w:r>
    </w:p>
    <w:p>
      <w:pPr>
        <w:spacing w:before="240" w:after="240"/>
      </w:pPr>
      <w:r>
        <w:rPr>
          <w:rFonts w:ascii="times new roman" w:eastAsia="times new roman" w:hAnsi="times new roman" w:cs="times new roman"/>
        </w:rPr>
        <w:t>🥳</w:t>
      </w:r>
      <w:r>
        <w:rPr>
          <w:rFonts w:ascii="times new roman" w:eastAsia="times new roman" w:hAnsi="times new roman" w:cs="times new roman"/>
          <w:b/>
          <w:bCs/>
          <w:color w:val="BA372A"/>
        </w:rPr>
        <w:t>迎新任務七、林口老街美食地圖</w:t>
      </w:r>
      <w:r>
        <w:rPr>
          <w:rFonts w:ascii="times new roman" w:eastAsia="times new roman" w:hAnsi="times new roman" w:cs="times new roman"/>
          <w:b/>
          <w:bCs/>
          <w:color w:val="BA372A"/>
        </w:rPr>
        <w:br/>
      </w:r>
      <w:r>
        <w:rPr>
          <w:rFonts w:ascii="times new roman" w:eastAsia="times new roman" w:hAnsi="times new roman" w:cs="times new roman"/>
        </w:rPr>
        <w:t>時間：09/08-10/31</w:t>
      </w:r>
      <w:r>
        <w:rPr>
          <w:rFonts w:ascii="times new roman" w:eastAsia="times new roman" w:hAnsi="times new roman" w:cs="times new roman"/>
        </w:rPr>
        <w:br/>
      </w:r>
      <w:r>
        <w:rPr>
          <w:rFonts w:ascii="times new roman" w:eastAsia="times new roman" w:hAnsi="times new roman" w:cs="times new roman"/>
        </w:rPr>
        <w:t>活動說明：林口老街是離林口校區最近的街市，來師大僑先部念書這一年，要吃香喝辣，一定要先來認識一下林口老街。同學可以參考我們提供的資訊按圖索驥，按讚FB活動貼文並留言喜歡吃哪個美食，到櫃臺出示畫面就可集一點！</w:t>
      </w:r>
    </w:p>
    <w:p>
      <w:pPr>
        <w:spacing w:before="240" w:after="240"/>
      </w:pPr>
      <w:r>
        <w:rPr>
          <w:rFonts w:ascii="times new roman" w:eastAsia="times new roman" w:hAnsi="times new roman" w:cs="times new roman"/>
        </w:rPr>
        <w:t>🥳</w:t>
      </w:r>
      <w:r>
        <w:rPr>
          <w:rFonts w:ascii="times new roman" w:eastAsia="times new roman" w:hAnsi="times new roman" w:cs="times new roman"/>
          <w:b/>
          <w:bCs/>
          <w:color w:val="BA372A"/>
        </w:rPr>
        <w:t>迎新任務八、魔法貓咪大冒險</w:t>
      </w:r>
      <w:r>
        <w:rPr>
          <w:rFonts w:ascii="times new roman" w:eastAsia="times new roman" w:hAnsi="times new roman" w:cs="times new roman"/>
          <w:b/>
          <w:bCs/>
          <w:color w:val="BA372A"/>
        </w:rPr>
        <w:br/>
      </w:r>
      <w:r>
        <w:rPr>
          <w:rFonts w:ascii="times new roman" w:eastAsia="times new roman" w:hAnsi="times new roman" w:cs="times new roman"/>
        </w:rPr>
        <w:t>時間：09/08-10/31</w:t>
      </w:r>
      <w:r>
        <w:rPr>
          <w:rFonts w:ascii="times new roman" w:eastAsia="times new roman" w:hAnsi="times new roman" w:cs="times new roman"/>
        </w:rPr>
        <w:br/>
      </w:r>
      <w:r>
        <w:rPr>
          <w:rFonts w:ascii="times new roman" w:eastAsia="times new roman" w:hAnsi="times new roman" w:cs="times new roman"/>
        </w:rPr>
        <w:t>活動說明：這是一款為僑先部新生量身打造的線上解謎遊戲，圖書館利用Google 表單，結合故事與圖書館實境，設計出「魔法貓咪大冒險」線上解謎遊戲，讓同學在找貓的同時認識圖書館，解謎成功者可獲得一點外，前20名還可得限量貓咪杯墊，最後還會從完成者中另外抽出3名7-11禮物卡的幸運得主！參加絕對有收穫！</w:t>
      </w:r>
    </w:p>
    <w:p>
      <w:pPr>
        <w:spacing w:before="240" w:after="240"/>
      </w:pPr>
      <w:r>
        <w:rPr>
          <w:rFonts w:ascii="times new roman" w:eastAsia="times new roman" w:hAnsi="times new roman" w:cs="times new roman"/>
        </w:rPr>
        <w:t>🥳</w:t>
      </w:r>
      <w:r>
        <w:rPr>
          <w:rFonts w:ascii="times new roman" w:eastAsia="times new roman" w:hAnsi="times new roman" w:cs="times new roman"/>
          <w:b/>
          <w:bCs/>
          <w:color w:val="BA372A"/>
        </w:rPr>
        <w:t>迎新任務九、借書有禮</w:t>
      </w:r>
      <w:r>
        <w:rPr>
          <w:rFonts w:ascii="times new roman" w:eastAsia="times new roman" w:hAnsi="times new roman" w:cs="times new roman"/>
          <w:b/>
          <w:bCs/>
          <w:color w:val="BA372A"/>
        </w:rPr>
        <w:br/>
      </w:r>
      <w:r>
        <w:rPr>
          <w:rFonts w:ascii="times new roman" w:eastAsia="times new roman" w:hAnsi="times new roman" w:cs="times new roman"/>
        </w:rPr>
        <w:t>時間：領到學生證開通讀者權限後-10/31</w:t>
      </w:r>
      <w:r>
        <w:rPr>
          <w:rFonts w:ascii="times new roman" w:eastAsia="times new roman" w:hAnsi="times new roman" w:cs="times new roman"/>
        </w:rPr>
        <w:br/>
      </w:r>
      <w:r>
        <w:rPr>
          <w:rFonts w:ascii="times new roman" w:eastAsia="times new roman" w:hAnsi="times new roman" w:cs="times new roman"/>
        </w:rPr>
        <w:t>活動說明：為了鼓勵新生拿到學生證後趕快開通權限借書，圖書館將統計活動期間僑先部同學的借閱量，借書量前10名可得臺灣特色零食「乖乖」1包。而且借書就可集一點喔！</w:t>
      </w:r>
    </w:p>
    <w:tbl>
      <w:tblPr>
        <w:tblW w:w="4998" w:type="pct"/>
        <w:tblInd w:w="30" w:type="dxa"/>
        <w:tblBorders>
          <w:top w:val="outset" w:sz="6" w:space="0" w:color="808080"/>
          <w:left w:val="outset" w:sz="6" w:space="0" w:color="808080"/>
          <w:bottom w:val="outset" w:sz="6" w:space="0" w:color="808080"/>
          <w:right w:val="outset" w:sz="6" w:space="0" w:color="808080"/>
        </w:tblBorders>
        <w:tblCellMar>
          <w:top w:w="15" w:type="dxa"/>
          <w:left w:w="15" w:type="dxa"/>
          <w:bottom w:w="15" w:type="dxa"/>
          <w:right w:w="15" w:type="dxa"/>
        </w:tblCellMar>
      </w:tblPr>
      <w:tblGrid>
        <w:gridCol w:w="3099"/>
        <w:gridCol w:w="3099"/>
        <w:gridCol w:w="3099"/>
      </w:tblGrid>
      <w:tr>
        <w:tblPrEx>
          <w:tblW w:w="4998" w:type="pct"/>
          <w:tblInd w:w="30" w:type="dxa"/>
          <w:tblBorders>
            <w:top w:val="outset" w:sz="6" w:space="0" w:color="808080"/>
            <w:left w:val="outset" w:sz="6" w:space="0" w:color="808080"/>
            <w:bottom w:val="outset" w:sz="6" w:space="0" w:color="808080"/>
            <w:right w:val="outset" w:sz="6" w:space="0" w:color="808080"/>
          </w:tblBorders>
          <w:tblCellMar>
            <w:top w:w="15" w:type="dxa"/>
            <w:left w:w="15" w:type="dxa"/>
            <w:bottom w:w="15" w:type="dxa"/>
            <w:right w:w="15" w:type="dxa"/>
          </w:tblCellMar>
        </w:tblPrEx>
        <w:tc>
          <w:tcPr>
            <w:tcW w:w="1613" w:type="pct"/>
            <w:tcBorders>
              <w:right w:val="inset" w:sz="6" w:space="0" w:color="808080"/>
            </w:tcBorders>
            <w:noWrap w:val="0"/>
            <w:tcMar>
              <w:top w:w="22" w:type="dxa"/>
              <w:left w:w="22" w:type="dxa"/>
              <w:bottom w:w="22" w:type="dxa"/>
              <w:right w:w="22" w:type="dxa"/>
            </w:tcMar>
            <w:vAlign w:val="center"/>
          </w:tcPr>
          <w:p>
            <w:pPr>
              <w:rPr>
                <w:b w:val="0"/>
                <w:bCs w:val="0"/>
                <w:i w:val="0"/>
                <w:iCs w:val="0"/>
                <w:smallCaps w:val="0"/>
                <w:color w:val="000000"/>
              </w:rPr>
            </w:pPr>
          </w:p>
        </w:tc>
        <w:tc>
          <w:tcPr>
            <w:tcW w:w="1613" w:type="pct"/>
            <w:tcBorders>
              <w:left w:val="inset" w:sz="6" w:space="0" w:color="808080"/>
              <w:right w:val="inset" w:sz="6" w:space="0" w:color="808080"/>
            </w:tcBorders>
            <w:noWrap w:val="0"/>
            <w:tcMar>
              <w:top w:w="22" w:type="dxa"/>
              <w:left w:w="22" w:type="dxa"/>
              <w:bottom w:w="22" w:type="dxa"/>
              <w:right w:w="22" w:type="dxa"/>
            </w:tcMar>
            <w:vAlign w:val="center"/>
          </w:tcPr>
          <w:p>
            <w:pPr>
              <w:rPr>
                <w:b w:val="0"/>
                <w:bCs w:val="0"/>
                <w:i w:val="0"/>
                <w:iCs w:val="0"/>
                <w:smallCaps w:val="0"/>
                <w:color w:val="000000"/>
              </w:rPr>
            </w:pPr>
          </w:p>
        </w:tc>
        <w:tc>
          <w:tcPr>
            <w:tcW w:w="1613" w:type="pct"/>
            <w:tcBorders>
              <w:left w:val="inset" w:sz="6" w:space="0" w:color="808080"/>
            </w:tcBorders>
            <w:noWrap w:val="0"/>
            <w:tcMar>
              <w:top w:w="22" w:type="dxa"/>
              <w:left w:w="22" w:type="dxa"/>
              <w:bottom w:w="22" w:type="dxa"/>
              <w:right w:w="22" w:type="dxa"/>
            </w:tcMar>
            <w:vAlign w:val="center"/>
          </w:tcPr>
          <w:p>
            <w:pPr>
              <w:rPr>
                <w:b w:val="0"/>
                <w:bCs w:val="0"/>
                <w:i w:val="0"/>
                <w:iCs w:val="0"/>
                <w:smallCaps w:val="0"/>
                <w:color w:val="000000"/>
              </w:rPr>
            </w:pPr>
          </w:p>
        </w:tc>
      </w:tr>
    </w:tbl>
    <w:p>
      <w:pPr>
        <w:spacing w:before="240" w:after="240"/>
      </w:pPr>
      <w:r>
        <w:br/>
      </w:r>
      <w:r>
        <w:rPr>
          <w:rFonts w:ascii="times new roman" w:eastAsia="times new roman" w:hAnsi="times new roman" w:cs="times new roman"/>
        </w:rPr>
        <w:t>在開始前，先領取一張集點卡，連成兩條線可抽一次「圖書館一番賞」，完成9點還另外有大獎可抽，邀請僑先部同學快來完成任務！</w:t>
      </w:r>
    </w:p>
    <w:p>
      <w:pPr>
        <w:spacing w:before="240" w:after="240"/>
        <w:jc w:val="right"/>
      </w:pPr>
      <w:bookmarkEnd w:id="1"/>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2" w:name="4"/>
      <w:r>
        <w:rPr>
          <w:rFonts w:ascii="Times New Roman" w:eastAsia="Times New Roman" w:hAnsi="Times New Roman" w:cs="Times New Roman"/>
          <w:i w:val="0"/>
          <w:iCs w:val="0"/>
        </w:rPr>
        <w:t>【2025 OA Week @NTNU】誰擁有我們的知識？開放報名中！</w:t>
      </w:r>
    </w:p>
    <w:p/>
    <w:p>
      <w:pPr>
        <w:spacing w:before="240" w:after="240"/>
        <w:jc w:val="right"/>
      </w:pPr>
      <w:r>
        <w:t>推廣諮詢組</w:t>
      </w:r>
    </w:p>
    <w:p>
      <w:pPr>
        <w:spacing w:before="240" w:after="240"/>
      </w:pPr>
      <w:r>
        <w:rPr>
          <w:rFonts w:ascii="times new roman" w:eastAsia="times new roman" w:hAnsi="times new roman" w:cs="times new roman"/>
        </w:rPr>
        <w:t>　　「誰擁有我們的知識？」是今年國際開放取用週的主題。</w:t>
      </w:r>
      <w:r>
        <w:rPr>
          <w:rFonts w:ascii="times new roman" w:eastAsia="times new roman" w:hAnsi="times new roman" w:cs="times new roman"/>
        </w:rPr>
        <w:t>2025年的主題直指當代核心議題：在顛覆性變革的時代，社群如何重新掌握自身產出知識的主導權。此主題不僅促使我們反思教育與研究的可取用性，更要求我們審視知識的創造與共享模式、知識的源頭，以及哪些聲音獲得認可與重視。</w:t>
      </w:r>
    </w:p>
    <w:p>
      <w:pPr>
        <w:spacing w:before="240" w:after="240"/>
      </w:pPr>
      <w:r>
        <w:rPr>
          <w:rFonts w:ascii="times new roman" w:eastAsia="times new roman" w:hAnsi="times new roman" w:cs="times new roman"/>
          <w:b/>
          <w:bCs/>
          <w:sz w:val="56"/>
          <w:szCs w:val="56"/>
        </w:rPr>
        <w:t xml:space="preserve">🔓 </w:t>
      </w:r>
      <w:bookmarkEnd w:id="2"/>
      <w:r>
        <w:rPr>
          <w:rFonts w:ascii="times new roman" w:eastAsia="times new roman" w:hAnsi="times new roman" w:cs="times new roman"/>
          <w:b/>
          <w:bCs/>
          <w:sz w:val="56"/>
          <w:szCs w:val="56"/>
        </w:rPr>
        <w:fldChar w:fldCharType="begin"/>
      </w:r>
      <w:r>
        <w:rPr>
          <w:rFonts w:ascii="times new roman" w:eastAsia="times new roman" w:hAnsi="times new roman" w:cs="times new roman"/>
          <w:b/>
          <w:bCs/>
          <w:sz w:val="56"/>
          <w:szCs w:val="56"/>
        </w:rPr>
        <w:instrText xml:space="preserve"> HYPERLINK "https://sites.google.com/view/oaw-ntnu/" </w:instrText>
      </w:r>
      <w:r>
        <w:rPr>
          <w:rFonts w:ascii="times new roman" w:eastAsia="times new roman" w:hAnsi="times new roman" w:cs="times new roman"/>
          <w:b/>
          <w:bCs/>
          <w:sz w:val="56"/>
          <w:szCs w:val="56"/>
        </w:rPr>
        <w:fldChar w:fldCharType="separate"/>
      </w:r>
      <w:r>
        <w:rPr>
          <w:b/>
          <w:bCs/>
          <w:color w:val="0000EE"/>
          <w:u w:val="single" w:color="0000EE"/>
        </w:rPr>
        <w:t>2025 OA Week @NTNU 活動官網</w:t>
      </w:r>
      <w:r>
        <w:rPr>
          <w:b/>
          <w:bCs/>
          <w:color w:val="0000EE"/>
          <w:u w:val="single" w:color="0000EE"/>
        </w:rPr>
        <w:fldChar w:fldCharType="end"/>
      </w:r>
      <w:r>
        <w:rPr>
          <w:b/>
          <w:bCs/>
        </w:rPr>
        <w:t> </w:t>
      </w:r>
      <w:r>
        <w:rPr>
          <w:b/>
          <w:bCs/>
        </w:rPr>
        <w:t xml:space="preserve">   </w:t>
      </w:r>
    </w:p>
    <w:p>
      <w:pPr>
        <w:spacing w:before="240" w:after="240"/>
      </w:pPr>
      <w:r>
        <w:t> </w:t>
      </w:r>
    </w:p>
    <w:p>
      <w:pPr>
        <w:spacing w:before="240" w:after="240"/>
      </w:pPr>
      <w:r>
        <w:rPr>
          <w:rFonts w:ascii="times new roman" w:eastAsia="times new roman" w:hAnsi="times new roman" w:cs="times new roman"/>
          <w:b/>
          <w:bCs/>
          <w:color w:val="BA372A"/>
        </w:rPr>
        <w:t>💡10/29(三)｜主題線上演講</w:t>
      </w:r>
      <w:r>
        <w:rPr>
          <w:rFonts w:ascii="times new roman" w:eastAsia="times new roman" w:hAnsi="times new roman" w:cs="times new roman"/>
          <w:b/>
          <w:bCs/>
          <w:color w:val="BA372A"/>
        </w:rPr>
        <w:br/>
      </w:r>
      <w:r>
        <w:rPr>
          <w:rFonts w:ascii="times new roman" w:eastAsia="times new roman" w:hAnsi="times new roman" w:cs="times new roman"/>
        </w:rPr>
        <w:t>　  誰擁有我們的知識？談學術出版環境中的開放與授權　</w:t>
      </w:r>
      <w:r>
        <w:rPr>
          <w:rFonts w:ascii="times new roman" w:eastAsia="times new roman" w:hAnsi="times new roman" w:cs="times new roman"/>
        </w:rPr>
        <w:fldChar w:fldCharType="begin"/>
      </w:r>
      <w:r>
        <w:rPr>
          <w:rFonts w:ascii="times new roman" w:eastAsia="times new roman" w:hAnsi="times new roman" w:cs="times new roman"/>
        </w:rPr>
        <w:instrText xml:space="preserve"> HYPERLINK "https://www.lib.ntnu.edu.tw/conference/joinconf.jsp?id=FB3F1FBB-1D26-1895-AE86-0C7ACF6C7846" </w:instrText>
      </w:r>
      <w:r>
        <w:rPr>
          <w:rFonts w:ascii="times new roman" w:eastAsia="times new roman" w:hAnsi="times new roman" w:cs="times new roman"/>
        </w:rPr>
        <w:fldChar w:fldCharType="separate"/>
      </w:r>
      <w:r>
        <w:rPr>
          <w:rFonts w:ascii="times new roman" w:eastAsia="times new roman" w:hAnsi="times new roman" w:cs="times new roman"/>
          <w:color w:val="000000"/>
          <w:u w:val="single" w:color="000000"/>
          <w:shd w:val="clear" w:color="auto" w:fill="ECCAFA"/>
        </w:rPr>
        <w:t>活動報名</w:t>
      </w:r>
      <w:r>
        <w:rPr>
          <w:rFonts w:ascii="times new roman" w:eastAsia="times new roman" w:hAnsi="times new roman" w:cs="times new roman"/>
          <w:color w:val="000000"/>
          <w:u w:val="single" w:color="000000"/>
          <w:shd w:val="clear" w:color="auto" w:fill="ECCAFA"/>
        </w:rPr>
        <w:fldChar w:fldCharType="end"/>
      </w:r>
      <w:r>
        <w:rPr>
          <w:rFonts w:ascii="times new roman" w:eastAsia="times new roman" w:hAnsi="times new roman" w:cs="times new roman"/>
          <w:color w:val="000000"/>
          <w:u w:val="single" w:color="000000"/>
          <w:shd w:val="clear" w:color="auto" w:fill="ECCAFA"/>
        </w:rPr>
        <w:br/>
      </w:r>
      <w:r>
        <w:rPr>
          <w:rFonts w:ascii="times new roman" w:eastAsia="times new roman" w:hAnsi="times new roman" w:cs="times new roman"/>
        </w:rPr>
        <w:t>  　講師：林誠夏老師／CC Taiwan Chapter Lead / 鈞理知識產權事務所法制顧問</w:t>
      </w:r>
    </w:p>
    <w:p>
      <w:pPr>
        <w:spacing w:before="240" w:after="240"/>
      </w:pPr>
      <w:r>
        <w:rPr>
          <w:rFonts w:ascii="times new roman" w:eastAsia="times new roman" w:hAnsi="times new roman" w:cs="times new roman"/>
        </w:rPr>
        <w:t>📜</w:t>
      </w:r>
      <w:r>
        <w:rPr>
          <w:rFonts w:ascii="times new roman" w:eastAsia="times new roman" w:hAnsi="times new roman" w:cs="times new roman"/>
          <w:b/>
          <w:bCs/>
          <w:color w:val="BA372A"/>
        </w:rPr>
        <w:t>10/16(四)｜實務演講</w:t>
      </w:r>
      <w:r>
        <w:rPr>
          <w:rFonts w:ascii="times new roman" w:eastAsia="times new roman" w:hAnsi="times new roman" w:cs="times new roman"/>
          <w:b/>
          <w:bCs/>
          <w:color w:val="BA372A"/>
        </w:rPr>
        <w:br/>
      </w:r>
      <w:r>
        <w:rPr>
          <w:rFonts w:ascii="times new roman" w:eastAsia="times new roman" w:hAnsi="times new roman" w:cs="times new roman"/>
        </w:rPr>
        <w:t>  　如何選擇合適的學術期刊投稿　</w:t>
      </w:r>
      <w:r>
        <w:rPr>
          <w:rFonts w:ascii="times new roman" w:eastAsia="times new roman" w:hAnsi="times new roman" w:cs="times new roman"/>
        </w:rPr>
        <w:fldChar w:fldCharType="begin"/>
      </w:r>
      <w:r>
        <w:rPr>
          <w:rFonts w:ascii="times new roman" w:eastAsia="times new roman" w:hAnsi="times new roman" w:cs="times new roman"/>
        </w:rPr>
        <w:instrText xml:space="preserve"> HYPERLINK "https://live.polyv.cn/watch/6418458" </w:instrText>
      </w:r>
      <w:r>
        <w:rPr>
          <w:rFonts w:ascii="times new roman" w:eastAsia="times new roman" w:hAnsi="times new roman" w:cs="times new roman"/>
        </w:rPr>
        <w:fldChar w:fldCharType="separate"/>
      </w:r>
      <w:r>
        <w:rPr>
          <w:rFonts w:ascii="times new roman" w:eastAsia="times new roman" w:hAnsi="times new roman" w:cs="times new roman"/>
          <w:color w:val="000000"/>
          <w:u w:val="single" w:color="000000"/>
          <w:shd w:val="clear" w:color="auto" w:fill="ECCAFA"/>
        </w:rPr>
        <w:t>報名連結（請在「工作單位」欄位寫上「國立臺灣師範大學」）</w:t>
      </w:r>
      <w:r>
        <w:rPr>
          <w:rFonts w:ascii="times new roman" w:eastAsia="times new roman" w:hAnsi="times new roman" w:cs="times new roman"/>
          <w:color w:val="000000"/>
          <w:u w:val="single" w:color="000000"/>
          <w:shd w:val="clear" w:color="auto" w:fill="ECCAFA"/>
        </w:rPr>
        <w:fldChar w:fldCharType="end"/>
      </w:r>
      <w:r>
        <w:rPr>
          <w:rFonts w:ascii="times new roman" w:eastAsia="times new roman" w:hAnsi="times new roman" w:cs="times new roman"/>
          <w:color w:val="000000"/>
          <w:u w:val="single" w:color="000000"/>
          <w:shd w:val="clear" w:color="auto" w:fill="ECCAFA"/>
        </w:rPr>
        <w:br/>
      </w:r>
      <w:r>
        <w:rPr>
          <w:rFonts w:ascii="times new roman" w:eastAsia="times new roman" w:hAnsi="times new roman" w:cs="times new roman"/>
        </w:rPr>
        <w:t>  　講師：韓佳／SpringerNature（本活動由SpringerNature辦理，請有興趣的師生同仁自行評估、報名及參與。）</w:t>
      </w:r>
    </w:p>
    <w:p>
      <w:pPr>
        <w:spacing w:before="240" w:after="240"/>
      </w:pPr>
      <w:r>
        <w:rPr>
          <w:rFonts w:ascii="times new roman" w:eastAsia="times new roman" w:hAnsi="times new roman" w:cs="times new roman"/>
          <w:b/>
          <w:bCs/>
          <w:color w:val="BA372A"/>
        </w:rPr>
        <w:t>🏫10/31(五)｜雙語校園導覽 EMI Campus Tour</w:t>
      </w:r>
      <w:r>
        <w:rPr>
          <w:rFonts w:ascii="times new roman" w:eastAsia="times new roman" w:hAnsi="times new roman" w:cs="times new roman"/>
          <w:b/>
          <w:bCs/>
          <w:color w:val="BA372A"/>
        </w:rPr>
        <w:br/>
      </w:r>
      <w:r>
        <w:rPr>
          <w:rFonts w:ascii="times new roman" w:eastAsia="times new roman" w:hAnsi="times new roman" w:cs="times new roman"/>
        </w:rPr>
        <w:t>  　臺北高校與師大之歷史傳承／The History of Taihoku Higher School and NTNU　</w:t>
      </w:r>
      <w:r>
        <w:rPr>
          <w:rFonts w:ascii="times new roman" w:eastAsia="times new roman" w:hAnsi="times new roman" w:cs="times new roman"/>
        </w:rPr>
        <w:fldChar w:fldCharType="begin"/>
      </w:r>
      <w:r>
        <w:rPr>
          <w:rFonts w:ascii="times new roman" w:eastAsia="times new roman" w:hAnsi="times new roman" w:cs="times new roman"/>
        </w:rPr>
        <w:instrText xml:space="preserve"> HYPERLINK "https://www.lib.ntnu.edu.tw/conference/joinconf.jsp?id=47FD806D-490F-4B16-2B0C-9D7D9A4CCCB4" </w:instrText>
      </w:r>
      <w:r>
        <w:rPr>
          <w:rFonts w:ascii="times new roman" w:eastAsia="times new roman" w:hAnsi="times new roman" w:cs="times new roman"/>
        </w:rPr>
        <w:fldChar w:fldCharType="separate"/>
      </w:r>
      <w:r>
        <w:rPr>
          <w:rFonts w:ascii="times new roman" w:eastAsia="times new roman" w:hAnsi="times new roman" w:cs="times new roman"/>
          <w:color w:val="000000"/>
          <w:u w:val="single" w:color="000000"/>
          <w:shd w:val="clear" w:color="auto" w:fill="ECCAFA"/>
        </w:rPr>
        <w:t>報名連結</w:t>
      </w:r>
      <w:r>
        <w:rPr>
          <w:rFonts w:ascii="times new roman" w:eastAsia="times new roman" w:hAnsi="times new roman" w:cs="times new roman"/>
          <w:color w:val="000000"/>
          <w:u w:val="single" w:color="000000"/>
          <w:shd w:val="clear" w:color="auto" w:fill="ECCAFA"/>
        </w:rPr>
        <w:fldChar w:fldCharType="end"/>
      </w:r>
      <w:r>
        <w:rPr>
          <w:rFonts w:ascii="times new roman" w:eastAsia="times new roman" w:hAnsi="times new roman" w:cs="times new roman"/>
        </w:rPr>
        <w:t>　</w:t>
      </w:r>
      <w:r>
        <w:rPr>
          <w:rFonts w:ascii="times new roman" w:eastAsia="times new roman" w:hAnsi="times new roman" w:cs="times new roman"/>
        </w:rPr>
        <w:fldChar w:fldCharType="begin"/>
      </w:r>
      <w:r>
        <w:rPr>
          <w:rFonts w:ascii="times new roman" w:eastAsia="times new roman" w:hAnsi="times new roman" w:cs="times new roman"/>
        </w:rPr>
        <w:instrText xml:space="preserve"> HYPERLINK "https://www.lib.ntnu.edu.tw/english/conference/joinconf.jsp?id=47FD806D-490F-4B16-2B0C-9D7D9A4CCCB4" </w:instrText>
      </w:r>
      <w:r>
        <w:rPr>
          <w:rFonts w:ascii="times new roman" w:eastAsia="times new roman" w:hAnsi="times new roman" w:cs="times new roman"/>
        </w:rPr>
        <w:fldChar w:fldCharType="separate"/>
      </w:r>
      <w:r>
        <w:rPr>
          <w:rFonts w:ascii="times new roman" w:eastAsia="times new roman" w:hAnsi="times new roman" w:cs="times new roman"/>
          <w:color w:val="000000"/>
          <w:u w:val="single" w:color="000000"/>
          <w:shd w:val="clear" w:color="auto" w:fill="ECCAFA"/>
        </w:rPr>
        <w:t>Registration</w:t>
      </w:r>
      <w:r>
        <w:rPr>
          <w:rFonts w:ascii="times new roman" w:eastAsia="times new roman" w:hAnsi="times new roman" w:cs="times new roman"/>
          <w:color w:val="000000"/>
          <w:u w:val="single" w:color="000000"/>
          <w:shd w:val="clear" w:color="auto" w:fill="ECCAFA"/>
        </w:rPr>
        <w:fldChar w:fldCharType="end"/>
      </w:r>
      <w:r>
        <w:rPr>
          <w:rFonts w:ascii="times new roman" w:eastAsia="times new roman" w:hAnsi="times new roman" w:cs="times new roman"/>
          <w:color w:val="000000"/>
          <w:u w:val="single" w:color="000000"/>
          <w:shd w:val="clear" w:color="auto" w:fill="ECCAFA"/>
        </w:rPr>
        <w:br/>
      </w:r>
      <w:r>
        <w:rPr>
          <w:rFonts w:ascii="times new roman" w:eastAsia="times new roman" w:hAnsi="times new roman" w:cs="times new roman"/>
        </w:rPr>
        <w:t>  　講師：謝佳真／臺師大臺史所碩士生 Miss Hsieh / Master Student, Grauduate Insitute of Taiwan History, NTNU</w:t>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p>
      <w:pPr>
        <w:pStyle w:val="Heading2"/>
        <w:keepNext w:val="0"/>
        <w:spacing w:before="299" w:after="299"/>
        <w:outlineLvl w:val="9"/>
        <w:rPr>
          <w:b/>
          <w:bCs/>
          <w:sz w:val="36"/>
          <w:szCs w:val="36"/>
        </w:rPr>
      </w:pPr>
      <w:bookmarkStart w:id="3" w:name="5"/>
      <w:r>
        <w:rPr>
          <w:rFonts w:ascii="Times New Roman" w:eastAsia="Times New Roman" w:hAnsi="Times New Roman" w:cs="Times New Roman"/>
          <w:i w:val="0"/>
          <w:iCs w:val="0"/>
        </w:rPr>
        <w:t>2025秋季論文寫作工作坊</w:t>
      </w:r>
    </w:p>
    <w:p/>
    <w:p>
      <w:pPr>
        <w:spacing w:before="240" w:after="240"/>
        <w:jc w:val="right"/>
      </w:pPr>
      <w:r>
        <w:t>推廣諮詢組</w:t>
      </w:r>
    </w:p>
    <w:p>
      <w:pPr>
        <w:spacing w:before="240" w:after="240"/>
      </w:pPr>
      <w:r>
        <w:t> </w:t>
      </w:r>
    </w:p>
    <w:p>
      <w:pPr>
        <w:spacing w:before="240" w:after="240"/>
      </w:pPr>
      <w:r>
        <w:rPr>
          <w:rFonts w:ascii="times new roman" w:eastAsia="times new roman" w:hAnsi="times new roman" w:cs="times new roman"/>
        </w:rPr>
        <w:t>想知道畢業上傳論文時如何一次通過？想善用圖表或更精確的英文呈現學術成果？歡迎來報名！</w:t>
      </w:r>
    </w:p>
    <w:p>
      <w:pPr>
        <w:spacing w:before="240" w:after="240"/>
      </w:pPr>
      <w:r>
        <w:rPr>
          <w:rFonts w:ascii="times new roman" w:eastAsia="times new roman" w:hAnsi="times new roman" w:cs="times new roman"/>
          <w:color w:val="BA372A"/>
          <w:sz w:val="32"/>
          <w:szCs w:val="32"/>
        </w:rPr>
        <w:t>★</w:t>
      </w:r>
      <w:r>
        <w:rPr>
          <w:rFonts w:ascii="times new roman" w:eastAsia="times new roman" w:hAnsi="times new roman" w:cs="times new roman"/>
          <w:b/>
          <w:bCs/>
          <w:color w:val="BA372A"/>
        </w:rPr>
        <w:t>實體課程@圖書館總館一樓多功能室</w:t>
      </w:r>
    </w:p>
    <w:p>
      <w:pPr>
        <w:spacing w:before="240" w:after="240"/>
      </w:pPr>
      <w:r>
        <w:rPr>
          <w:rFonts w:ascii="times new roman" w:eastAsia="times new roman" w:hAnsi="times new roman" w:cs="times new roman"/>
        </w:rPr>
        <w:t>🧑‍🎓11/11(二) 上午11:00-12:00  臺師大博碩士學位論文上傳說明</w:t>
      </w:r>
      <w:r>
        <w:rPr>
          <w:rFonts w:ascii="times new roman" w:eastAsia="times new roman" w:hAnsi="times new roman" w:cs="times new roman"/>
        </w:rPr>
        <w:br/>
      </w:r>
      <w:r>
        <w:rPr>
          <w:rFonts w:ascii="times new roman" w:eastAsia="times new roman" w:hAnsi="times new roman" w:cs="times new roman"/>
        </w:rPr>
        <w:t>  　許茹茵｜推廣諮詢組館員</w:t>
      </w:r>
      <w:r>
        <w:rPr>
          <w:rFonts w:ascii="times new roman" w:eastAsia="times new roman" w:hAnsi="times new roman" w:cs="times new roman"/>
        </w:rPr>
        <w:br/>
      </w:r>
      <w:r>
        <w:rPr>
          <w:rFonts w:ascii="times new roman" w:eastAsia="times new roman" w:hAnsi="times new roman" w:cs="times new roman"/>
        </w:rPr>
        <w:t>🧑‍🎓11/19(三) 14:00-16:00  Designing Effective Graphs, Charts, and Images for Academic Presentations - Presenting data with confidence.</w:t>
      </w:r>
      <w:r>
        <w:rPr>
          <w:rFonts w:ascii="times new roman" w:eastAsia="times new roman" w:hAnsi="times new roman" w:cs="times new roman"/>
        </w:rPr>
        <w:br/>
      </w:r>
      <w:r>
        <w:rPr>
          <w:rFonts w:ascii="times new roman" w:eastAsia="times new roman" w:hAnsi="times new roman" w:cs="times new roman"/>
        </w:rPr>
        <w:t>  　Antony Parnigoni ｜uni-edit 講師 *含實作建議自備筆電</w:t>
      </w:r>
      <w:r>
        <w:rPr>
          <w:rFonts w:ascii="times new roman" w:eastAsia="times new roman" w:hAnsi="times new roman" w:cs="times new roman"/>
        </w:rPr>
        <w:br/>
      </w:r>
      <w:r>
        <w:rPr>
          <w:rFonts w:ascii="times new roman" w:eastAsia="times new roman" w:hAnsi="times new roman" w:cs="times new roman"/>
        </w:rPr>
        <w:t>🧑‍🎓11/20(四) 14:00-16:00  碩博生全英研討會駕馭術：簡報內容、技巧、口頭發表重點這樣抓</w:t>
      </w:r>
      <w:r>
        <w:rPr>
          <w:rFonts w:ascii="times new roman" w:eastAsia="times new roman" w:hAnsi="times new roman" w:cs="times new roman"/>
        </w:rPr>
        <w:br/>
      </w:r>
      <w:r>
        <w:rPr>
          <w:rFonts w:ascii="times new roman" w:eastAsia="times new roman" w:hAnsi="times new roman" w:cs="times new roman"/>
        </w:rPr>
        <w:t>  　林芷安｜專業中英雙向口筆譯老師</w:t>
      </w:r>
      <w:r>
        <w:rPr>
          <w:rFonts w:ascii="times new roman" w:eastAsia="times new roman" w:hAnsi="times new roman" w:cs="times new roman"/>
        </w:rPr>
        <w:br/>
      </w:r>
      <w:r>
        <w:rPr>
          <w:rFonts w:ascii="times new roman" w:eastAsia="times new roman" w:hAnsi="times new roman" w:cs="times new roman"/>
        </w:rPr>
        <w:t>🧑‍🎓11/26(三) 14:00-16:00  Designing Effective Graphs, Charts, and Images for Academic Presentations - Displaying your research.</w:t>
      </w:r>
      <w:r>
        <w:rPr>
          <w:rFonts w:ascii="times new roman" w:eastAsia="times new roman" w:hAnsi="times new roman" w:cs="times new roman"/>
        </w:rPr>
        <w:br/>
      </w:r>
      <w:r>
        <w:rPr>
          <w:rFonts w:ascii="times new roman" w:eastAsia="times new roman" w:hAnsi="times new roman" w:cs="times new roman"/>
        </w:rPr>
        <w:t>  　Antony Parnigoni｜uni-edit 講師 *含實作建議自備筆電</w:t>
      </w:r>
    </w:p>
    <w:p>
      <w:pPr>
        <w:spacing w:before="240" w:after="240"/>
      </w:pPr>
      <w:r>
        <w:rPr>
          <w:rFonts w:ascii="times new roman" w:eastAsia="times new roman" w:hAnsi="times new roman" w:cs="times new roman"/>
          <w:b/>
          <w:bCs/>
          <w:color w:val="BA372A"/>
          <w:sz w:val="32"/>
          <w:szCs w:val="32"/>
        </w:rPr>
        <w:t>★</w:t>
      </w:r>
      <w:r>
        <w:rPr>
          <w:rFonts w:ascii="times new roman" w:eastAsia="times new roman" w:hAnsi="times new roman" w:cs="times new roman"/>
          <w:b/>
          <w:bCs/>
          <w:color w:val="BA372A"/>
        </w:rPr>
        <w:t>線上課程</w:t>
      </w:r>
    </w:p>
    <w:p>
      <w:pPr>
        <w:spacing w:before="240" w:after="240"/>
      </w:pPr>
      <w:r>
        <w:rPr>
          <w:rFonts w:ascii="times new roman" w:eastAsia="times new roman" w:hAnsi="times new roman" w:cs="times new roman"/>
        </w:rPr>
        <w:t>🗂️11/14(五) 14:00-16:00</w:t>
      </w:r>
      <w:r>
        <w:rPr>
          <w:rFonts w:ascii="times new roman" w:eastAsia="times new roman" w:hAnsi="times new roman" w:cs="times new roman"/>
        </w:rPr>
        <w:br/>
      </w:r>
      <w:r>
        <w:rPr>
          <w:rFonts w:ascii="times new roman" w:eastAsia="times new roman" w:hAnsi="times new roman" w:cs="times new roman"/>
        </w:rPr>
        <w:t>  　Endnote書目管理軟體｜碩睿資訊</w:t>
      </w:r>
      <w:r>
        <w:rPr>
          <w:rFonts w:ascii="times new roman" w:eastAsia="times new roman" w:hAnsi="times new roman" w:cs="times new roman"/>
        </w:rPr>
        <w:br/>
      </w:r>
      <w:r>
        <w:rPr>
          <w:rFonts w:ascii="times new roman" w:eastAsia="times new roman" w:hAnsi="times new roman" w:cs="times new roman"/>
        </w:rPr>
        <w:t>🗂️11/21(五) 14:00-15:30</w:t>
      </w:r>
      <w:r>
        <w:rPr>
          <w:rFonts w:ascii="times new roman" w:eastAsia="times new roman" w:hAnsi="times new roman" w:cs="times new roman"/>
        </w:rPr>
        <w:br/>
      </w:r>
      <w:r>
        <w:rPr>
          <w:rFonts w:ascii="times new roman" w:eastAsia="times new roman" w:hAnsi="times new roman" w:cs="times new roman"/>
        </w:rPr>
        <w:t>  　Turnitin原創性比對系統-學生版｜智泉國際</w:t>
      </w:r>
      <w:r>
        <w:rPr>
          <w:rFonts w:ascii="times new roman" w:eastAsia="times new roman" w:hAnsi="times new roman" w:cs="times new roman"/>
        </w:rPr>
        <w:br/>
      </w:r>
      <w:r>
        <w:rPr>
          <w:rFonts w:ascii="times new roman" w:eastAsia="times new roman" w:hAnsi="times new roman" w:cs="times new roman"/>
        </w:rPr>
        <w:t>🗂️11/28(五) 10:00-11:30</w:t>
      </w:r>
      <w:r>
        <w:rPr>
          <w:rFonts w:ascii="times new roman" w:eastAsia="times new roman" w:hAnsi="times new roman" w:cs="times new roman"/>
        </w:rPr>
        <w:br/>
      </w:r>
      <w:r>
        <w:rPr>
          <w:rFonts w:ascii="times new roman" w:eastAsia="times new roman" w:hAnsi="times new roman" w:cs="times new roman"/>
        </w:rPr>
        <w:t>  　JCR資料庫｜碩睿資訊</w:t>
      </w:r>
    </w:p>
    <w:p>
      <w:pPr>
        <w:spacing w:before="240" w:after="240"/>
      </w:pPr>
      <w:bookmarkEnd w:id="3"/>
      <w:r>
        <w:fldChar w:fldCharType="begin"/>
      </w:r>
      <w:r>
        <w:instrText xml:space="preserve"> HYPERLINK "https://www.lib.ntnu.edu.tw/service/others_07.jsp" </w:instrText>
      </w:r>
      <w:r>
        <w:fldChar w:fldCharType="separate"/>
      </w:r>
      <w:r>
        <w:rPr>
          <w:color w:val="000000"/>
          <w:u w:val="single" w:color="000000"/>
          <w:shd w:val="clear" w:color="auto" w:fill="ECCAFA"/>
        </w:rPr>
        <w:t>名額有限。立即報名</w:t>
      </w:r>
      <w:r>
        <w:rPr>
          <w:color w:val="000000"/>
          <w:u w:val="single" w:color="000000"/>
          <w:shd w:val="clear" w:color="auto" w:fill="ECCAFA"/>
        </w:rPr>
        <w:fldChar w:fldCharType="end"/>
      </w:r>
      <w:r>
        <w:rPr>
          <w:color w:val="000000"/>
          <w:u w:val="single" w:color="000000"/>
          <w:shd w:val="clear" w:color="auto" w:fill="ECCAFA"/>
        </w:rPr>
        <w:br/>
      </w:r>
    </w:p>
    <w:p>
      <w:pPr>
        <w:spacing w:before="240" w:after="240"/>
        <w:jc w:val="right"/>
      </w:pPr>
      <w:r>
        <w:fldChar w:fldCharType="begin"/>
      </w:r>
      <w:r>
        <w:instrText xml:space="preserve"> HYPERLINK \l "top" </w:instrText>
      </w:r>
      <w:r>
        <w:fldChar w:fldCharType="separate"/>
      </w:r>
      <w:r>
        <w:rPr>
          <w:color w:val="0000EE"/>
          <w:u w:val="single" w:color="0000EE"/>
        </w:rPr>
        <w:t>回頁首</w:t>
      </w:r>
      <w:r>
        <w:rPr>
          <w:color w:val="0000EE"/>
          <w:u w:val="single" w:color="0000EE"/>
        </w:rPr>
        <w:fldChar w:fldCharType="end"/>
      </w:r>
    </w:p>
    <w:sectPr>
      <w:pgMar w:header="708" w:footer="708"/>
      <w:cols w:space="708"/>
    </w:sectPr>
  </w:body>
</w:document>
</file>

<file path=word/fontTable.xml><?xml version="1.0" encoding="utf-8"?>
<w:fonts xmlns:r="http://schemas.openxmlformats.org/officeDocument/2006/relationships" xmlns:w="http://schemas.openxmlformats.org/wordprocessingml/2006/main"/>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00000001"/>
    <w:lvl w:ilvl="0">
      <w:start w:val="1"/>
      <w:numFmt w:val="bullet"/>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efaultTabStop w:val="720"/>
  <w:noPunctuationKerning/>
  <w:characterSpacingControl w:val="doNotCompress"/>
  <w:compat/>
  <w:rsids>
    <w:rsidRoot w:val="00000000"/>
  </w:rsids>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paragraph" w:styleId="Heading1">
    <w:name w:val="heading 1"/>
    <w:basedOn w:val="Normal"/>
    <w:next w:val="Normal"/>
    <w:qFormat/>
    <w:rsid w:val="00EF7B96"/>
    <w:pPr>
      <w:keepNext/>
      <w:spacing w:before="240" w:after="60"/>
      <w:outlineLvl w:val="0"/>
    </w:pPr>
    <w:rPr>
      <w:rFonts w:ascii="Times New Roman" w:eastAsia="Times New Roman" w:hAnsi="Times New Roman" w:cs="Times New Roman"/>
      <w:b/>
      <w:bCs/>
      <w:i w:val="0"/>
      <w:kern w:val="36"/>
      <w:sz w:val="48"/>
      <w:szCs w:val="48"/>
    </w:rPr>
  </w:style>
  <w:style w:type="paragraph" w:styleId="Heading2">
    <w:name w:val="heading 2"/>
    <w:basedOn w:val="Normal"/>
    <w:next w:val="Normal"/>
    <w:qFormat/>
    <w:rsid w:val="00EF7B96"/>
    <w:pPr>
      <w:keepNext/>
      <w:spacing w:before="240" w:after="60"/>
      <w:outlineLvl w:val="1"/>
    </w:pPr>
    <w:rPr>
      <w:rFonts w:ascii="Times New Roman" w:eastAsia="Times New Roman" w:hAnsi="Times New Roman" w:cs="Times New Roman"/>
      <w:b/>
      <w:bCs/>
      <w:i w:val="0"/>
      <w:iCs/>
      <w:sz w:val="36"/>
      <w:szCs w:val="36"/>
    </w:rPr>
  </w:style>
  <w:style w:type="paragraph" w:styleId="Heading3">
    <w:name w:val="heading 3"/>
    <w:basedOn w:val="Normal"/>
    <w:next w:val="Normal"/>
    <w:qFormat/>
    <w:rsid w:val="00EF7B96"/>
    <w:pPr>
      <w:keepNext/>
      <w:spacing w:before="240" w:after="60"/>
      <w:outlineLvl w:val="2"/>
    </w:pPr>
    <w:rPr>
      <w:rFonts w:ascii="Times New Roman" w:eastAsia="Times New Roman" w:hAnsi="Times New Roman" w:cs="Times New Roman"/>
      <w:b/>
      <w:bCs/>
      <w:i w:val="0"/>
      <w:sz w:val="28"/>
      <w:szCs w:val="28"/>
    </w:rPr>
  </w:style>
  <w:style w:type="paragraph" w:styleId="Heading4">
    <w:name w:val="heading 4"/>
    <w:basedOn w:val="Normal"/>
    <w:next w:val="Normal"/>
    <w:qFormat/>
    <w:rsid w:val="00EF7B96"/>
    <w:pPr>
      <w:keepNext/>
      <w:spacing w:before="240" w:after="60"/>
      <w:outlineLvl w:val="3"/>
    </w:pPr>
    <w:rPr>
      <w:rFonts w:ascii="Times New Roman" w:eastAsia="Times New Roman" w:hAnsi="Times New Roman" w:cs="Times New Roman"/>
      <w:b/>
      <w:bCs/>
      <w:i w:val="0"/>
      <w:sz w:val="24"/>
      <w:szCs w:val="24"/>
    </w:rPr>
  </w:style>
  <w:style w:type="paragraph" w:styleId="Heading5">
    <w:name w:val="heading 5"/>
    <w:basedOn w:val="Normal"/>
    <w:next w:val="Normal"/>
    <w:qFormat/>
    <w:rsid w:val="00EF7B96"/>
    <w:pPr>
      <w:spacing w:before="240" w:after="60"/>
      <w:outlineLvl w:val="4"/>
    </w:pPr>
    <w:rPr>
      <w:rFonts w:ascii="Times New Roman" w:eastAsia="Times New Roman" w:hAnsi="Times New Roman" w:cs="Times New Roman"/>
      <w:b/>
      <w:bCs/>
      <w:i w:val="0"/>
      <w:iCs/>
      <w:sz w:val="20"/>
      <w:szCs w:val="20"/>
    </w:rPr>
  </w:style>
  <w:style w:type="paragraph" w:styleId="Heading6">
    <w:name w:val="heading 6"/>
    <w:basedOn w:val="Normal"/>
    <w:next w:val="Normal"/>
    <w:qFormat/>
    <w:rsid w:val="00EF7B96"/>
    <w:pPr>
      <w:spacing w:before="240" w:after="60"/>
      <w:outlineLvl w:val="5"/>
    </w:pPr>
    <w:rPr>
      <w:rFonts w:ascii="Times New Roman" w:eastAsia="Times New Roman" w:hAnsi="Times New Roman" w:cs="Times New Roman"/>
      <w:b/>
      <w:bCs/>
      <w:i w:val="0"/>
      <w:sz w:val="16"/>
      <w:szCs w:val="16"/>
    </w:rPr>
  </w:style>
  <w:style w:type="character" w:default="1" w:styleId="DefaultParagraphFont">
    <w:name w:val="Default Paragraph Font"/>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numbering" Target="numbering.xml" /><Relationship Id="rId5" Type="http://schemas.openxmlformats.org/officeDocument/2006/relationships/styles" Target="styles.xml" /></Relationships>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國立臺灣師範大學圖書館電子報系統</dc:title>
  <cp:revision>0</cp:revision>
</cp:coreProperties>
</file>